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BA6D" w14:textId="55A60728" w:rsidR="005A39FF" w:rsidRPr="001915FF" w:rsidRDefault="00036B0B" w:rsidP="001915FF">
      <w:pPr>
        <w:pStyle w:val="Heading2"/>
        <w:rPr>
          <w:lang w:val="es-US"/>
        </w:rPr>
      </w:pPr>
      <w:r w:rsidRPr="001915FF">
        <w:rPr>
          <w:lang w:val="es-US"/>
        </w:rPr>
        <w:t>Puntos de Discusión sobre la Conducción de Adultos Mayores</w:t>
      </w:r>
    </w:p>
    <w:p w14:paraId="1DD63FDD" w14:textId="77777777" w:rsidR="00036B0B" w:rsidRPr="001915FF" w:rsidRDefault="00036B0B" w:rsidP="00B771B9">
      <w:pPr>
        <w:rPr>
          <w:lang w:val="es-US"/>
        </w:rPr>
      </w:pPr>
      <w:r w:rsidRPr="001915FF">
        <w:rPr>
          <w:lang w:val="es-US"/>
        </w:rPr>
        <w:t>El envejecimiento afecta a cada persona de forma diferente. Cuando se trata del manejo, es importante comprender el impacto que los cambios relacionados con la edad pueden tener en la capacidad de una persona de conducir de forma segura. La Administración Nacional de Seguridad del Tráfico en las Carreteras (NHTSA), del Departamento de Transporte de los Estados Unidos, les recuerda a los conductores mayores, a sus familiares y cuidadores ser proactivos cuando se trata de discutir la movilidad segura y elaborar un plan de transporte para el conductor mayor.</w:t>
      </w:r>
    </w:p>
    <w:p w14:paraId="652D3060" w14:textId="77777777" w:rsidR="00036B0B" w:rsidRPr="001915FF" w:rsidRDefault="00036B0B" w:rsidP="00B771B9">
      <w:pPr>
        <w:rPr>
          <w:lang w:val="es-US"/>
        </w:rPr>
      </w:pPr>
      <w:r w:rsidRPr="001915FF">
        <w:rPr>
          <w:lang w:val="es-US"/>
        </w:rPr>
        <w:t>Utilice los puntos de discusión a continuación para iniciar conversaciones sobre la movilidad segura:</w:t>
      </w:r>
    </w:p>
    <w:p w14:paraId="1307D996" w14:textId="0EA4CF24" w:rsidR="00036B0B" w:rsidRPr="008B1CC8" w:rsidRDefault="00036B0B" w:rsidP="00036B0B">
      <w:pPr>
        <w:pStyle w:val="ListParagraph"/>
        <w:rPr>
          <w:lang w:val="es-US"/>
        </w:rPr>
      </w:pPr>
      <w:r w:rsidRPr="008B1CC8">
        <w:rPr>
          <w:lang w:val="es-US"/>
        </w:rPr>
        <w:t xml:space="preserve">Entre 2020 y 2021, hubo un aumento del 15% en el número </w:t>
      </w:r>
      <w:r w:rsidR="00991C00">
        <w:rPr>
          <w:lang w:val="es-US"/>
        </w:rPr>
        <w:t xml:space="preserve">de </w:t>
      </w:r>
      <w:r w:rsidRPr="008B1CC8">
        <w:rPr>
          <w:lang w:val="es-US"/>
        </w:rPr>
        <w:t>fatalidades en choques de tráfico que involucraron a conductores mayores, incrementando de 7,135 en 2020 a 8,209 en 2021.</w:t>
      </w:r>
    </w:p>
    <w:p w14:paraId="51D50379" w14:textId="77777777" w:rsidR="00036B0B" w:rsidRPr="00991C00" w:rsidRDefault="00036B0B" w:rsidP="00036B0B">
      <w:pPr>
        <w:pStyle w:val="ListParagraph"/>
        <w:rPr>
          <w:lang w:val="es-US"/>
        </w:rPr>
      </w:pPr>
      <w:r w:rsidRPr="00991C00">
        <w:rPr>
          <w:lang w:val="es-US"/>
        </w:rPr>
        <w:t xml:space="preserve">Entre 2020 y 2021, hubo un aumento del 14% en el número de personas mayores de 65 años que murieron en choques de tráfico. </w:t>
      </w:r>
    </w:p>
    <w:p w14:paraId="514CD4F3" w14:textId="77777777" w:rsidR="00036B0B" w:rsidRPr="008B1CC8" w:rsidRDefault="00036B0B" w:rsidP="00036B0B">
      <w:pPr>
        <w:pStyle w:val="ListParagraph"/>
        <w:rPr>
          <w:lang w:val="es-US"/>
        </w:rPr>
      </w:pPr>
      <w:r w:rsidRPr="008B1CC8">
        <w:rPr>
          <w:lang w:val="es-US"/>
        </w:rPr>
        <w:t>En 2021, el 70% de las muertes en choques de tráfico que involucraron a conductores mayores involucraron a otros vehículos.</w:t>
      </w:r>
    </w:p>
    <w:p w14:paraId="0801E043" w14:textId="77777777" w:rsidR="00036B0B" w:rsidRPr="00991C00" w:rsidRDefault="00036B0B" w:rsidP="00036B0B">
      <w:pPr>
        <w:pStyle w:val="ListParagraph"/>
        <w:rPr>
          <w:lang w:val="es-US"/>
        </w:rPr>
      </w:pPr>
      <w:r w:rsidRPr="00991C00">
        <w:rPr>
          <w:lang w:val="es-US"/>
        </w:rPr>
        <w:t>En 2021, el número de conductores mayores que murieron en choques de tráfico en carreteras rurales fue mayor que en carreteras urbanas (50% versus 49%).</w:t>
      </w:r>
    </w:p>
    <w:p w14:paraId="1D24FA4F" w14:textId="4A29A209" w:rsidR="00036B0B" w:rsidRPr="00991C00" w:rsidRDefault="00036B0B" w:rsidP="00036B0B">
      <w:pPr>
        <w:pStyle w:val="ListParagraph"/>
        <w:rPr>
          <w:lang w:val="es-US"/>
        </w:rPr>
      </w:pPr>
      <w:r w:rsidRPr="00991C00">
        <w:rPr>
          <w:lang w:val="es-US"/>
        </w:rPr>
        <w:t xml:space="preserve">Entre la población de adultos mayores en 2021, la tasa de mortalidad </w:t>
      </w:r>
      <w:r w:rsidR="009D0C55">
        <w:rPr>
          <w:lang w:val="es-US"/>
        </w:rPr>
        <w:t>en</w:t>
      </w:r>
      <w:r w:rsidR="009D0C55" w:rsidRPr="00991C00">
        <w:rPr>
          <w:lang w:val="es-US"/>
        </w:rPr>
        <w:t xml:space="preserve"> </w:t>
      </w:r>
      <w:r w:rsidRPr="00991C00">
        <w:rPr>
          <w:lang w:val="es-US"/>
        </w:rPr>
        <w:t xml:space="preserve">choques de tráfico por cada 100,000 habitantes fue más alta para el grupo de edad de más de 85 años. </w:t>
      </w:r>
    </w:p>
    <w:p w14:paraId="4E3BE330" w14:textId="46E65CFD" w:rsidR="00036B0B" w:rsidRPr="00991C00" w:rsidRDefault="00036B0B" w:rsidP="00036B0B">
      <w:pPr>
        <w:pStyle w:val="ListParagraph"/>
        <w:rPr>
          <w:lang w:val="es-US"/>
        </w:rPr>
      </w:pPr>
      <w:r w:rsidRPr="00991C00">
        <w:rPr>
          <w:lang w:val="es-US"/>
        </w:rPr>
        <w:t>Los choques automovilísticos son más peligrosos para los adultos mayores que para las personas más jóvenes, porque los adultos mayores tienen más probabilidades de tener una disminución de las capacidades funcionales y fragilidad</w:t>
      </w:r>
      <w:r w:rsidR="009D0C55">
        <w:rPr>
          <w:lang w:val="es-US"/>
        </w:rPr>
        <w:t>,</w:t>
      </w:r>
      <w:r w:rsidRPr="00991C00">
        <w:rPr>
          <w:lang w:val="es-US"/>
        </w:rPr>
        <w:t xml:space="preserve"> que pueden afectar la conducción segura y el tiempo de recuperación de las lesiones. </w:t>
      </w:r>
    </w:p>
    <w:p w14:paraId="6DB45768" w14:textId="77777777" w:rsidR="00036B0B" w:rsidRPr="00991C00" w:rsidRDefault="00036B0B" w:rsidP="00036B0B">
      <w:pPr>
        <w:pStyle w:val="ListParagraph"/>
        <w:rPr>
          <w:lang w:val="es-US"/>
        </w:rPr>
      </w:pPr>
      <w:r w:rsidRPr="00991C00">
        <w:rPr>
          <w:lang w:val="es-US"/>
        </w:rPr>
        <w:t>Las decisiones sobre la capacidad de manejar de una persona no deberían basarse únicamente en la edad. Sin embargo, los cambios en la visión, la condición física y los reflejos pueden causar problemas que afecten su seguridad. Al evaluar con precisión los cambios relacionados con la edad, puede ajustar sus hábitos de conducción para mantenerse seguro en la carretera o elegir utilizar otros tipos de transporte.</w:t>
      </w:r>
    </w:p>
    <w:p w14:paraId="629184C6" w14:textId="77777777" w:rsidR="00036B0B" w:rsidRPr="00991C00" w:rsidRDefault="00036B0B" w:rsidP="00036B0B">
      <w:pPr>
        <w:pStyle w:val="ListParagraph"/>
        <w:rPr>
          <w:lang w:val="es-US"/>
        </w:rPr>
      </w:pPr>
      <w:r w:rsidRPr="00991C00">
        <w:rPr>
          <w:lang w:val="es-US"/>
        </w:rPr>
        <w:t xml:space="preserve">Una forma de mantenerse seguro mientras conduce es asegurarse de comprender cómo las condiciones médicas pueden afectar su capacidad para manejar de forma segura. </w:t>
      </w:r>
    </w:p>
    <w:p w14:paraId="1C50BB3A" w14:textId="5F2167D6" w:rsidR="00036B0B" w:rsidRPr="00991C00" w:rsidRDefault="00840CE7" w:rsidP="00036B0B">
      <w:pPr>
        <w:pStyle w:val="ListParagraph"/>
        <w:rPr>
          <w:lang w:val="es-US"/>
        </w:rPr>
      </w:pPr>
      <w:r>
        <w:rPr>
          <w:lang w:val="es-US"/>
        </w:rPr>
        <w:t>Es importante que i</w:t>
      </w:r>
      <w:r w:rsidR="00036B0B" w:rsidRPr="00991C00">
        <w:rPr>
          <w:lang w:val="es-US"/>
        </w:rPr>
        <w:t>nicie la conversación sobre la conducción segura mucho antes de que note dificultades. Hágalo cada vez que encuentre intersecciones o escenarios de conducción complicados en sus trayectos. En última instancia, es el desempeño de conducción de una persona, y no su edad, lo que debería determinar la aptitud para conducir.</w:t>
      </w:r>
    </w:p>
    <w:p w14:paraId="7AC6414B" w14:textId="77777777" w:rsidR="00036B0B" w:rsidRPr="00991C00" w:rsidRDefault="00036B0B" w:rsidP="00036B0B">
      <w:pPr>
        <w:pStyle w:val="ListParagraph"/>
        <w:rPr>
          <w:lang w:val="es-US"/>
        </w:rPr>
      </w:pPr>
      <w:r w:rsidRPr="00991C00">
        <w:rPr>
          <w:lang w:val="es-US"/>
        </w:rPr>
        <w:t>Planifique los viajes en horas del día, cuando el tráfico sea ligero, y planifique su ruta para evitar problemas en el camino.</w:t>
      </w:r>
    </w:p>
    <w:p w14:paraId="4DB76A13" w14:textId="1F995B27" w:rsidR="00036B0B" w:rsidRPr="00991C00" w:rsidRDefault="00036B0B" w:rsidP="00036B0B">
      <w:pPr>
        <w:pStyle w:val="ListParagraph"/>
        <w:rPr>
          <w:lang w:val="es-US"/>
        </w:rPr>
      </w:pPr>
      <w:r w:rsidRPr="00991C00">
        <w:rPr>
          <w:lang w:val="es-US"/>
        </w:rPr>
        <w:lastRenderedPageBreak/>
        <w:t>Manejar por la noche podría convertirse en un desafío a medida que envejecemos. Durante los meses del invierno el sol se pone temprano, por lo que oscurecerá más temprano. Recuérdeles a sus seres queridos la importancia de planificar su horario con anticipación para estar en casa antes de que se ponga el sol. Cuando viajen en la oscuridad, asegúrese de que sepan dónde están ubicados los faros delanteros, y recuérdeles reducir la velocidad y estar atentos a todos los usuarios de la carretera.</w:t>
      </w:r>
    </w:p>
    <w:p w14:paraId="48DACB34" w14:textId="77777777" w:rsidR="00036B0B" w:rsidRPr="00991C00" w:rsidRDefault="00036B0B" w:rsidP="00036B0B">
      <w:pPr>
        <w:pStyle w:val="ListParagraph"/>
        <w:rPr>
          <w:lang w:val="es-US"/>
        </w:rPr>
      </w:pPr>
      <w:r w:rsidRPr="00991C00">
        <w:rPr>
          <w:lang w:val="es-US"/>
        </w:rPr>
        <w:t>Promueva la concientización y la comprensión del impacto que tiene el envejecimiento en la capacidad de manejar de forma segura.</w:t>
      </w:r>
    </w:p>
    <w:p w14:paraId="332A28C9" w14:textId="77777777" w:rsidR="00036B0B" w:rsidRPr="00991C00" w:rsidRDefault="00036B0B" w:rsidP="00036B0B">
      <w:pPr>
        <w:pStyle w:val="ListParagraph"/>
        <w:rPr>
          <w:lang w:val="es-US"/>
        </w:rPr>
      </w:pPr>
      <w:r w:rsidRPr="00991C00">
        <w:rPr>
          <w:lang w:val="es-US"/>
        </w:rPr>
        <w:t>Recuérdeles a los conductores mayores la importancia de ser proactivos para conducir de manera segura.</w:t>
      </w:r>
    </w:p>
    <w:p w14:paraId="7F1E5F60" w14:textId="77777777" w:rsidR="00036B0B" w:rsidRPr="00991C00" w:rsidRDefault="00036B0B" w:rsidP="00043B99">
      <w:pPr>
        <w:pStyle w:val="ListParagraph"/>
        <w:spacing w:after="240"/>
        <w:rPr>
          <w:lang w:val="es-US"/>
        </w:rPr>
      </w:pPr>
      <w:r w:rsidRPr="00991C00">
        <w:rPr>
          <w:lang w:val="es-US"/>
        </w:rPr>
        <w:t xml:space="preserve">Motive a los conductores mayores a planificar una movilidad segura, incluso más allá de la conducción. </w:t>
      </w:r>
    </w:p>
    <w:p w14:paraId="2721C3BD" w14:textId="511F9BE1" w:rsidR="00403044" w:rsidRPr="00840CE7" w:rsidRDefault="00036B0B" w:rsidP="00B771B9">
      <w:pPr>
        <w:rPr>
          <w:lang w:val="es-US"/>
        </w:rPr>
      </w:pPr>
      <w:r w:rsidRPr="00991C00">
        <w:rPr>
          <w:lang w:val="es-US"/>
        </w:rPr>
        <w:t xml:space="preserve">Para más información sobre la conducción de adultos mayores, visite </w:t>
      </w:r>
      <w:hyperlink r:id="rId11" w:history="1">
        <w:r w:rsidR="003664D4">
          <w:rPr>
            <w:rStyle w:val="Hyperlink"/>
            <w:lang w:val="es-US"/>
          </w:rPr>
          <w:t>www.nhtsa.gov/es/seguridad-vial/conduccion-de-adultos-mayores</w:t>
        </w:r>
      </w:hyperlink>
      <w:r w:rsidR="00BD5183" w:rsidRPr="00840CE7">
        <w:rPr>
          <w:lang w:val="es-US"/>
        </w:rPr>
        <w:t xml:space="preserve">. </w:t>
      </w:r>
    </w:p>
    <w:sectPr w:rsidR="00403044" w:rsidRPr="00840CE7" w:rsidSect="002C06A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CC05" w14:textId="77777777" w:rsidR="00CC601F" w:rsidRDefault="00CC601F" w:rsidP="00600589">
      <w:pPr>
        <w:spacing w:after="0" w:line="240" w:lineRule="auto"/>
      </w:pPr>
      <w:r>
        <w:separator/>
      </w:r>
    </w:p>
  </w:endnote>
  <w:endnote w:type="continuationSeparator" w:id="0">
    <w:p w14:paraId="475785B5" w14:textId="77777777" w:rsidR="00CC601F" w:rsidRDefault="00CC601F" w:rsidP="0060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718C" w14:textId="18DDC48C" w:rsidR="00B036AF" w:rsidRPr="00183CCF" w:rsidRDefault="005A39FF" w:rsidP="00666804">
    <w:pPr>
      <w:pStyle w:val="ControlCode"/>
    </w:pPr>
    <w:r w:rsidRPr="00183CCF">
      <w:t>15870</w:t>
    </w:r>
    <w:r w:rsidR="00036B0B" w:rsidRPr="00183CCF">
      <w:t>f</w:t>
    </w:r>
    <w:r w:rsidR="00B036AF" w:rsidRPr="00183CCF">
      <w:t>-</w:t>
    </w:r>
    <w:r w:rsidR="00036B0B" w:rsidRPr="00183CCF">
      <w:t>110</w:t>
    </w:r>
    <w:r w:rsidR="003664D4">
      <w:t>8</w:t>
    </w:r>
    <w:r w:rsidR="00036B0B" w:rsidRPr="00183CCF">
      <w:t>23</w:t>
    </w:r>
    <w:r w:rsidR="00B036AF" w:rsidRPr="00183CCF">
      <w:t>-v</w:t>
    </w:r>
    <w:r w:rsidR="003664D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4E05" w14:textId="77777777" w:rsidR="00CC601F" w:rsidRDefault="00CC601F" w:rsidP="00600589">
      <w:pPr>
        <w:spacing w:after="0" w:line="240" w:lineRule="auto"/>
      </w:pPr>
      <w:r>
        <w:separator/>
      </w:r>
    </w:p>
  </w:footnote>
  <w:footnote w:type="continuationSeparator" w:id="0">
    <w:p w14:paraId="72A5BBF9" w14:textId="77777777" w:rsidR="00CC601F" w:rsidRDefault="00CC601F" w:rsidP="0060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82F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FA5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26F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C628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0896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AB7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2C31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5CC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F26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E4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9C9"/>
    <w:multiLevelType w:val="hybridMultilevel"/>
    <w:tmpl w:val="38D4A01A"/>
    <w:lvl w:ilvl="0" w:tplc="7A9E8126">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7712C"/>
    <w:multiLevelType w:val="hybridMultilevel"/>
    <w:tmpl w:val="070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C7B62"/>
    <w:multiLevelType w:val="multilevel"/>
    <w:tmpl w:val="713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12EEA"/>
    <w:multiLevelType w:val="hybridMultilevel"/>
    <w:tmpl w:val="2D1C0A5E"/>
    <w:lvl w:ilvl="0" w:tplc="289C32F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05C77"/>
    <w:multiLevelType w:val="hybridMultilevel"/>
    <w:tmpl w:val="063C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33A3C"/>
    <w:multiLevelType w:val="multilevel"/>
    <w:tmpl w:val="A24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427FD"/>
    <w:multiLevelType w:val="hybridMultilevel"/>
    <w:tmpl w:val="812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945FB"/>
    <w:multiLevelType w:val="hybridMultilevel"/>
    <w:tmpl w:val="50F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A44B7"/>
    <w:multiLevelType w:val="multilevel"/>
    <w:tmpl w:val="AF18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33144"/>
    <w:multiLevelType w:val="hybridMultilevel"/>
    <w:tmpl w:val="CD8851BA"/>
    <w:lvl w:ilvl="0" w:tplc="D94236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495899"/>
    <w:multiLevelType w:val="multilevel"/>
    <w:tmpl w:val="513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03A13"/>
    <w:multiLevelType w:val="hybridMultilevel"/>
    <w:tmpl w:val="453C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2740"/>
    <w:multiLevelType w:val="hybridMultilevel"/>
    <w:tmpl w:val="35FEDD30"/>
    <w:lvl w:ilvl="0" w:tplc="0B1203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62029"/>
    <w:multiLevelType w:val="hybridMultilevel"/>
    <w:tmpl w:val="19D4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B1DD0"/>
    <w:multiLevelType w:val="hybridMultilevel"/>
    <w:tmpl w:val="CBF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91EB2"/>
    <w:multiLevelType w:val="multilevel"/>
    <w:tmpl w:val="A576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810926">
    <w:abstractNumId w:val="23"/>
  </w:num>
  <w:num w:numId="2" w16cid:durableId="1377240906">
    <w:abstractNumId w:val="10"/>
  </w:num>
  <w:num w:numId="3" w16cid:durableId="1252004044">
    <w:abstractNumId w:val="17"/>
  </w:num>
  <w:num w:numId="4" w16cid:durableId="61805068">
    <w:abstractNumId w:val="21"/>
  </w:num>
  <w:num w:numId="5" w16cid:durableId="1334648495">
    <w:abstractNumId w:val="14"/>
  </w:num>
  <w:num w:numId="6" w16cid:durableId="884223560">
    <w:abstractNumId w:val="20"/>
  </w:num>
  <w:num w:numId="7" w16cid:durableId="1969117491">
    <w:abstractNumId w:val="12"/>
  </w:num>
  <w:num w:numId="8" w16cid:durableId="2041319171">
    <w:abstractNumId w:val="15"/>
  </w:num>
  <w:num w:numId="9" w16cid:durableId="1153060302">
    <w:abstractNumId w:val="25"/>
  </w:num>
  <w:num w:numId="10" w16cid:durableId="1847359687">
    <w:abstractNumId w:val="18"/>
  </w:num>
  <w:num w:numId="11" w16cid:durableId="1172404494">
    <w:abstractNumId w:val="19"/>
  </w:num>
  <w:num w:numId="12" w16cid:durableId="1779788702">
    <w:abstractNumId w:val="16"/>
  </w:num>
  <w:num w:numId="13" w16cid:durableId="827594802">
    <w:abstractNumId w:val="11"/>
  </w:num>
  <w:num w:numId="14" w16cid:durableId="739522168">
    <w:abstractNumId w:val="24"/>
  </w:num>
  <w:num w:numId="15" w16cid:durableId="48069904">
    <w:abstractNumId w:val="9"/>
  </w:num>
  <w:num w:numId="16" w16cid:durableId="1994285881">
    <w:abstractNumId w:val="7"/>
  </w:num>
  <w:num w:numId="17" w16cid:durableId="281496194">
    <w:abstractNumId w:val="6"/>
  </w:num>
  <w:num w:numId="18" w16cid:durableId="1922569257">
    <w:abstractNumId w:val="5"/>
  </w:num>
  <w:num w:numId="19" w16cid:durableId="1808621793">
    <w:abstractNumId w:val="4"/>
  </w:num>
  <w:num w:numId="20" w16cid:durableId="1574848008">
    <w:abstractNumId w:val="8"/>
  </w:num>
  <w:num w:numId="21" w16cid:durableId="976303487">
    <w:abstractNumId w:val="3"/>
  </w:num>
  <w:num w:numId="22" w16cid:durableId="1670018446">
    <w:abstractNumId w:val="2"/>
  </w:num>
  <w:num w:numId="23" w16cid:durableId="674721073">
    <w:abstractNumId w:val="1"/>
  </w:num>
  <w:num w:numId="24" w16cid:durableId="1637681283">
    <w:abstractNumId w:val="0"/>
  </w:num>
  <w:num w:numId="25" w16cid:durableId="1499152053">
    <w:abstractNumId w:val="13"/>
  </w:num>
  <w:num w:numId="26" w16cid:durableId="1543637667">
    <w:abstractNumId w:val="22"/>
  </w:num>
  <w:num w:numId="27" w16cid:durableId="346179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4D"/>
    <w:rsid w:val="000230F8"/>
    <w:rsid w:val="00036B0B"/>
    <w:rsid w:val="00043B99"/>
    <w:rsid w:val="0009756D"/>
    <w:rsid w:val="000E7944"/>
    <w:rsid w:val="00110E24"/>
    <w:rsid w:val="00123C81"/>
    <w:rsid w:val="00183CCF"/>
    <w:rsid w:val="001873A4"/>
    <w:rsid w:val="001915FF"/>
    <w:rsid w:val="001E501A"/>
    <w:rsid w:val="00200EB6"/>
    <w:rsid w:val="00226829"/>
    <w:rsid w:val="00234C24"/>
    <w:rsid w:val="00294892"/>
    <w:rsid w:val="00296A07"/>
    <w:rsid w:val="00297B2E"/>
    <w:rsid w:val="002A7BC1"/>
    <w:rsid w:val="002B12E8"/>
    <w:rsid w:val="002C06A3"/>
    <w:rsid w:val="002C1CF4"/>
    <w:rsid w:val="002C2718"/>
    <w:rsid w:val="002D257E"/>
    <w:rsid w:val="00301F19"/>
    <w:rsid w:val="0030322D"/>
    <w:rsid w:val="003073A5"/>
    <w:rsid w:val="00310DD6"/>
    <w:rsid w:val="00332312"/>
    <w:rsid w:val="0035635B"/>
    <w:rsid w:val="00362D66"/>
    <w:rsid w:val="003664D4"/>
    <w:rsid w:val="00374604"/>
    <w:rsid w:val="003C1214"/>
    <w:rsid w:val="003C533A"/>
    <w:rsid w:val="004404AE"/>
    <w:rsid w:val="00450C6E"/>
    <w:rsid w:val="0045256C"/>
    <w:rsid w:val="004572E3"/>
    <w:rsid w:val="00462098"/>
    <w:rsid w:val="00463FB6"/>
    <w:rsid w:val="00481143"/>
    <w:rsid w:val="00505DCF"/>
    <w:rsid w:val="005924D2"/>
    <w:rsid w:val="005A39FF"/>
    <w:rsid w:val="00600589"/>
    <w:rsid w:val="00666804"/>
    <w:rsid w:val="00690D4D"/>
    <w:rsid w:val="006A3465"/>
    <w:rsid w:val="006B7097"/>
    <w:rsid w:val="006C1668"/>
    <w:rsid w:val="00793259"/>
    <w:rsid w:val="00794E60"/>
    <w:rsid w:val="007B42D8"/>
    <w:rsid w:val="007C30F4"/>
    <w:rsid w:val="00827119"/>
    <w:rsid w:val="00840CE7"/>
    <w:rsid w:val="008429BD"/>
    <w:rsid w:val="008A6B2B"/>
    <w:rsid w:val="008B1CC8"/>
    <w:rsid w:val="008F49E9"/>
    <w:rsid w:val="00983A23"/>
    <w:rsid w:val="00991C00"/>
    <w:rsid w:val="009C45AD"/>
    <w:rsid w:val="009D0C55"/>
    <w:rsid w:val="009E482E"/>
    <w:rsid w:val="009F7073"/>
    <w:rsid w:val="00A851CD"/>
    <w:rsid w:val="00AA3EE1"/>
    <w:rsid w:val="00AA5C7F"/>
    <w:rsid w:val="00AB1E55"/>
    <w:rsid w:val="00B036AF"/>
    <w:rsid w:val="00B267E6"/>
    <w:rsid w:val="00B27F1F"/>
    <w:rsid w:val="00B76A64"/>
    <w:rsid w:val="00B771B9"/>
    <w:rsid w:val="00B81BD9"/>
    <w:rsid w:val="00B96E29"/>
    <w:rsid w:val="00BC0C81"/>
    <w:rsid w:val="00BD5183"/>
    <w:rsid w:val="00C701E0"/>
    <w:rsid w:val="00C72546"/>
    <w:rsid w:val="00C90431"/>
    <w:rsid w:val="00CC601F"/>
    <w:rsid w:val="00D41425"/>
    <w:rsid w:val="00D6132F"/>
    <w:rsid w:val="00DD1220"/>
    <w:rsid w:val="00E5463F"/>
    <w:rsid w:val="00E922AD"/>
    <w:rsid w:val="00ED0E76"/>
    <w:rsid w:val="00EF71A5"/>
    <w:rsid w:val="00F1520B"/>
    <w:rsid w:val="00F45689"/>
    <w:rsid w:val="00F53757"/>
    <w:rsid w:val="00F55E14"/>
    <w:rsid w:val="00F82596"/>
    <w:rsid w:val="00F87A3D"/>
    <w:rsid w:val="00FA31F3"/>
    <w:rsid w:val="00FB307D"/>
    <w:rsid w:val="00FD5146"/>
    <w:rsid w:val="00FE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D6DC"/>
  <w15:chartTrackingRefBased/>
  <w15:docId w15:val="{F537644D-30D0-4B6C-B2E6-BFE8A8A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83CCF"/>
    <w:pPr>
      <w:spacing w:after="200" w:line="276" w:lineRule="auto"/>
    </w:pPr>
    <w:rPr>
      <w:rFonts w:ascii="Trebuchet MS" w:eastAsia="Calibri" w:hAnsi="Trebuchet MS" w:cs="Times New Roman"/>
    </w:rPr>
  </w:style>
  <w:style w:type="paragraph" w:styleId="Heading1">
    <w:name w:val="heading 1"/>
    <w:aliases w:val="1. Campaign Year &amp; Name"/>
    <w:basedOn w:val="Heading3"/>
    <w:next w:val="Normal"/>
    <w:link w:val="Heading1Char"/>
    <w:autoRedefine/>
    <w:uiPriority w:val="9"/>
    <w:qFormat/>
    <w:rsid w:val="00450C6E"/>
    <w:pPr>
      <w:spacing w:before="0" w:after="0"/>
      <w:jc w:val="center"/>
      <w:outlineLvl w:val="0"/>
    </w:pPr>
    <w:rPr>
      <w:rFonts w:ascii="Rockwell" w:hAnsi="Rockwell"/>
      <w:noProof/>
      <w:sz w:val="28"/>
    </w:rPr>
  </w:style>
  <w:style w:type="paragraph" w:styleId="Heading2">
    <w:name w:val="heading 2"/>
    <w:aliases w:val="2. Title of Earned Media"/>
    <w:basedOn w:val="Heading3"/>
    <w:next w:val="Normal"/>
    <w:link w:val="Heading2Char"/>
    <w:autoRedefine/>
    <w:uiPriority w:val="9"/>
    <w:qFormat/>
    <w:rsid w:val="001915FF"/>
    <w:pPr>
      <w:spacing w:before="0" w:after="360"/>
      <w:jc w:val="center"/>
      <w:outlineLvl w:val="1"/>
    </w:pPr>
    <w:rPr>
      <w:rFonts w:ascii="Rockwell" w:hAnsi="Rockwell"/>
      <w:noProof/>
      <w:sz w:val="28"/>
    </w:rPr>
  </w:style>
  <w:style w:type="paragraph" w:styleId="Heading3">
    <w:name w:val="heading 3"/>
    <w:aliases w:val="3. Subhead"/>
    <w:basedOn w:val="Normal"/>
    <w:next w:val="Normal"/>
    <w:link w:val="Heading3Char"/>
    <w:uiPriority w:val="9"/>
    <w:unhideWhenUsed/>
    <w:qFormat/>
    <w:rsid w:val="00450C6E"/>
    <w:pPr>
      <w:spacing w:before="3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6E"/>
    <w:pPr>
      <w:numPr>
        <w:numId w:val="27"/>
      </w:numPr>
      <w:spacing w:before="120" w:after="120" w:line="240" w:lineRule="auto"/>
    </w:pPr>
  </w:style>
  <w:style w:type="paragraph" w:customStyle="1" w:styleId="Default">
    <w:name w:val="Default"/>
    <w:rsid w:val="00B267E6"/>
    <w:pPr>
      <w:autoSpaceDE w:val="0"/>
      <w:autoSpaceDN w:val="0"/>
      <w:adjustRightInd w:val="0"/>
      <w:spacing w:after="0" w:line="240" w:lineRule="auto"/>
    </w:pPr>
    <w:rPr>
      <w:rFonts w:ascii="Apollo MT Std" w:hAnsi="Apollo MT Std" w:cs="Apollo MT Std"/>
      <w:color w:val="000000"/>
      <w:sz w:val="24"/>
      <w:szCs w:val="24"/>
    </w:rPr>
  </w:style>
  <w:style w:type="character" w:customStyle="1" w:styleId="A2">
    <w:name w:val="A2"/>
    <w:uiPriority w:val="99"/>
    <w:rsid w:val="00690D4D"/>
    <w:rPr>
      <w:rFonts w:cs="Trade Gothic LT Std"/>
      <w:color w:val="211D1E"/>
      <w:sz w:val="16"/>
      <w:szCs w:val="16"/>
    </w:rPr>
  </w:style>
  <w:style w:type="paragraph" w:styleId="EndnoteText">
    <w:name w:val="endnote text"/>
    <w:basedOn w:val="Normal"/>
    <w:link w:val="EndnoteTextChar"/>
    <w:uiPriority w:val="99"/>
    <w:semiHidden/>
    <w:unhideWhenUsed/>
    <w:rsid w:val="00600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89"/>
    <w:rPr>
      <w:sz w:val="20"/>
      <w:szCs w:val="20"/>
    </w:rPr>
  </w:style>
  <w:style w:type="character" w:styleId="EndnoteReference">
    <w:name w:val="endnote reference"/>
    <w:basedOn w:val="DefaultParagraphFont"/>
    <w:uiPriority w:val="99"/>
    <w:semiHidden/>
    <w:unhideWhenUsed/>
    <w:rsid w:val="00600589"/>
    <w:rPr>
      <w:vertAlign w:val="superscript"/>
    </w:rPr>
  </w:style>
  <w:style w:type="paragraph" w:styleId="FootnoteText">
    <w:name w:val="footnote text"/>
    <w:basedOn w:val="Normal"/>
    <w:link w:val="FootnoteTextChar"/>
    <w:uiPriority w:val="99"/>
    <w:semiHidden/>
    <w:unhideWhenUsed/>
    <w:rsid w:val="00450C6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450C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0C6E"/>
    <w:rPr>
      <w:vertAlign w:val="superscript"/>
    </w:rPr>
  </w:style>
  <w:style w:type="character" w:styleId="CommentReference">
    <w:name w:val="annotation reference"/>
    <w:basedOn w:val="DefaultParagraphFont"/>
    <w:uiPriority w:val="99"/>
    <w:semiHidden/>
    <w:unhideWhenUsed/>
    <w:rsid w:val="00450C6E"/>
    <w:rPr>
      <w:sz w:val="16"/>
      <w:szCs w:val="16"/>
    </w:rPr>
  </w:style>
  <w:style w:type="paragraph" w:styleId="CommentText">
    <w:name w:val="annotation text"/>
    <w:basedOn w:val="Normal"/>
    <w:link w:val="CommentTextChar"/>
    <w:uiPriority w:val="99"/>
    <w:unhideWhenUsed/>
    <w:rsid w:val="00450C6E"/>
    <w:pPr>
      <w:spacing w:line="240" w:lineRule="auto"/>
    </w:pPr>
    <w:rPr>
      <w:sz w:val="20"/>
      <w:szCs w:val="20"/>
    </w:rPr>
  </w:style>
  <w:style w:type="character" w:customStyle="1" w:styleId="CommentTextChar">
    <w:name w:val="Comment Text Char"/>
    <w:basedOn w:val="DefaultParagraphFont"/>
    <w:link w:val="CommentText"/>
    <w:uiPriority w:val="99"/>
    <w:rsid w:val="00450C6E"/>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450C6E"/>
    <w:rPr>
      <w:b/>
      <w:bCs/>
    </w:rPr>
  </w:style>
  <w:style w:type="character" w:customStyle="1" w:styleId="CommentSubjectChar">
    <w:name w:val="Comment Subject Char"/>
    <w:basedOn w:val="CommentTextChar"/>
    <w:link w:val="CommentSubject"/>
    <w:uiPriority w:val="99"/>
    <w:semiHidden/>
    <w:rsid w:val="00450C6E"/>
    <w:rPr>
      <w:rFonts w:ascii="Trebuchet MS" w:eastAsia="Calibri" w:hAnsi="Trebuchet MS" w:cs="Times New Roman"/>
      <w:b/>
      <w:bCs/>
      <w:sz w:val="20"/>
      <w:szCs w:val="20"/>
    </w:rPr>
  </w:style>
  <w:style w:type="paragraph" w:styleId="Revision">
    <w:name w:val="Revision"/>
    <w:hidden/>
    <w:uiPriority w:val="99"/>
    <w:semiHidden/>
    <w:rsid w:val="0009756D"/>
    <w:pPr>
      <w:spacing w:after="0" w:line="240" w:lineRule="auto"/>
    </w:pPr>
  </w:style>
  <w:style w:type="character" w:styleId="Emphasis">
    <w:name w:val="Emphasis"/>
    <w:basedOn w:val="DefaultParagraphFont"/>
    <w:uiPriority w:val="20"/>
    <w:qFormat/>
    <w:rsid w:val="0009756D"/>
    <w:rPr>
      <w:i/>
      <w:iCs/>
    </w:rPr>
  </w:style>
  <w:style w:type="character" w:styleId="Hyperlink">
    <w:name w:val="Hyperlink"/>
    <w:uiPriority w:val="99"/>
    <w:unhideWhenUsed/>
    <w:rsid w:val="00450C6E"/>
    <w:rPr>
      <w:color w:val="0000FF"/>
      <w:u w:val="single"/>
    </w:rPr>
  </w:style>
  <w:style w:type="paragraph" w:styleId="NoSpacing">
    <w:name w:val="No Spacing"/>
    <w:uiPriority w:val="1"/>
    <w:rsid w:val="00450C6E"/>
    <w:pPr>
      <w:spacing w:after="0" w:line="240" w:lineRule="auto"/>
    </w:pPr>
    <w:rPr>
      <w:rFonts w:ascii="Trebuchet MS" w:eastAsia="Calibri" w:hAnsi="Trebuchet MS" w:cs="Times New Roman"/>
    </w:rPr>
  </w:style>
  <w:style w:type="character" w:customStyle="1" w:styleId="UnresolvedMention1">
    <w:name w:val="Unresolved Mention1"/>
    <w:basedOn w:val="DefaultParagraphFont"/>
    <w:uiPriority w:val="99"/>
    <w:semiHidden/>
    <w:unhideWhenUsed/>
    <w:rsid w:val="00B267E6"/>
    <w:rPr>
      <w:color w:val="605E5C"/>
      <w:shd w:val="clear" w:color="auto" w:fill="E1DFDD"/>
    </w:rPr>
  </w:style>
  <w:style w:type="paragraph" w:styleId="BalloonText">
    <w:name w:val="Balloon Text"/>
    <w:basedOn w:val="Normal"/>
    <w:link w:val="BalloonTextChar"/>
    <w:uiPriority w:val="99"/>
    <w:semiHidden/>
    <w:unhideWhenUsed/>
    <w:rsid w:val="00450C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0C6E"/>
    <w:rPr>
      <w:rFonts w:ascii="Tahoma" w:eastAsia="Calibri" w:hAnsi="Tahoma" w:cs="Tahoma"/>
      <w:sz w:val="16"/>
      <w:szCs w:val="16"/>
    </w:rPr>
  </w:style>
  <w:style w:type="paragraph" w:styleId="Header">
    <w:name w:val="header"/>
    <w:basedOn w:val="Normal"/>
    <w:link w:val="HeaderChar"/>
    <w:uiPriority w:val="99"/>
    <w:unhideWhenUsed/>
    <w:rsid w:val="00450C6E"/>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450C6E"/>
    <w:rPr>
      <w:rFonts w:ascii="Trebuchet MS" w:eastAsia="Calibri" w:hAnsi="Trebuchet MS" w:cs="Times New Roman"/>
    </w:rPr>
  </w:style>
  <w:style w:type="paragraph" w:styleId="Footer">
    <w:name w:val="footer"/>
    <w:basedOn w:val="Normal"/>
    <w:link w:val="FooterChar"/>
    <w:uiPriority w:val="99"/>
    <w:unhideWhenUsed/>
    <w:rsid w:val="0045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6E"/>
    <w:rPr>
      <w:rFonts w:ascii="Trebuchet MS" w:eastAsia="Calibri" w:hAnsi="Trebuchet MS" w:cs="Times New Roman"/>
    </w:rPr>
  </w:style>
  <w:style w:type="character" w:customStyle="1" w:styleId="Heading2Char">
    <w:name w:val="Heading 2 Char"/>
    <w:aliases w:val="2. Title of Earned Media Char"/>
    <w:link w:val="Heading2"/>
    <w:uiPriority w:val="9"/>
    <w:rsid w:val="001915FF"/>
    <w:rPr>
      <w:rFonts w:ascii="Rockwell" w:eastAsia="Calibri" w:hAnsi="Rockwell" w:cs="Times New Roman"/>
      <w:b/>
      <w:noProof/>
      <w:sz w:val="28"/>
    </w:rPr>
  </w:style>
  <w:style w:type="character" w:customStyle="1" w:styleId="Heading1Char">
    <w:name w:val="Heading 1 Char"/>
    <w:aliases w:val="1. Campaign Year &amp; Name Char"/>
    <w:link w:val="Heading1"/>
    <w:uiPriority w:val="9"/>
    <w:rsid w:val="00450C6E"/>
    <w:rPr>
      <w:rFonts w:ascii="Rockwell" w:eastAsia="Calibri" w:hAnsi="Rockwell" w:cs="Times New Roman"/>
      <w:b/>
      <w:noProof/>
      <w:sz w:val="28"/>
    </w:rPr>
  </w:style>
  <w:style w:type="character" w:styleId="UnresolvedMention">
    <w:name w:val="Unresolved Mention"/>
    <w:basedOn w:val="DefaultParagraphFont"/>
    <w:uiPriority w:val="99"/>
    <w:semiHidden/>
    <w:unhideWhenUsed/>
    <w:rsid w:val="00450C6E"/>
    <w:rPr>
      <w:color w:val="605E5C"/>
      <w:shd w:val="clear" w:color="auto" w:fill="E1DFDD"/>
    </w:rPr>
  </w:style>
  <w:style w:type="paragraph" w:styleId="BodyText">
    <w:name w:val="Body Text"/>
    <w:basedOn w:val="Normal"/>
    <w:link w:val="BodyTextChar"/>
    <w:uiPriority w:val="99"/>
    <w:unhideWhenUsed/>
    <w:rsid w:val="00B267E6"/>
  </w:style>
  <w:style w:type="character" w:customStyle="1" w:styleId="BodyTextChar">
    <w:name w:val="Body Text Char"/>
    <w:basedOn w:val="DefaultParagraphFont"/>
    <w:link w:val="BodyText"/>
    <w:uiPriority w:val="99"/>
    <w:rsid w:val="00B267E6"/>
    <w:rPr>
      <w:rFonts w:ascii="Trebuchet MS" w:eastAsia="Calibri" w:hAnsi="Trebuchet MS" w:cs="Times New Roman"/>
    </w:rPr>
  </w:style>
  <w:style w:type="paragraph" w:customStyle="1" w:styleId="5ControlCode">
    <w:name w:val="5. Control Code"/>
    <w:basedOn w:val="Normal"/>
    <w:link w:val="5ControlCodeChar"/>
    <w:rsid w:val="00450C6E"/>
    <w:pPr>
      <w:jc w:val="right"/>
    </w:pPr>
    <w:rPr>
      <w:sz w:val="14"/>
      <w:szCs w:val="14"/>
    </w:rPr>
  </w:style>
  <w:style w:type="character" w:customStyle="1" w:styleId="5ControlCodeChar">
    <w:name w:val="5. Control Code Char"/>
    <w:link w:val="5ControlCode"/>
    <w:rsid w:val="00450C6E"/>
    <w:rPr>
      <w:rFonts w:ascii="Trebuchet MS" w:eastAsia="Calibri" w:hAnsi="Trebuchet MS" w:cs="Times New Roman"/>
      <w:sz w:val="14"/>
      <w:szCs w:val="14"/>
    </w:rPr>
  </w:style>
  <w:style w:type="character" w:customStyle="1" w:styleId="A8">
    <w:name w:val="A8"/>
    <w:uiPriority w:val="99"/>
    <w:rsid w:val="00B267E6"/>
    <w:rPr>
      <w:rFonts w:cs="Apollo MT Std"/>
      <w:b/>
      <w:bCs/>
      <w:color w:val="000000"/>
    </w:rPr>
  </w:style>
  <w:style w:type="paragraph" w:customStyle="1" w:styleId="bodycopy">
    <w:name w:val="bodycopy"/>
    <w:basedOn w:val="Normal"/>
    <w:rsid w:val="00450C6E"/>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450C6E"/>
  </w:style>
  <w:style w:type="character" w:styleId="FollowedHyperlink">
    <w:name w:val="FollowedHyperlink"/>
    <w:basedOn w:val="DefaultParagraphFont"/>
    <w:uiPriority w:val="99"/>
    <w:semiHidden/>
    <w:unhideWhenUsed/>
    <w:rsid w:val="00450C6E"/>
    <w:rPr>
      <w:color w:val="954F72" w:themeColor="followedHyperlink"/>
      <w:u w:val="single"/>
    </w:rPr>
  </w:style>
  <w:style w:type="character" w:customStyle="1" w:styleId="Heading3Char">
    <w:name w:val="Heading 3 Char"/>
    <w:aliases w:val="3. Subhead Char"/>
    <w:link w:val="Heading3"/>
    <w:uiPriority w:val="9"/>
    <w:rsid w:val="00450C6E"/>
    <w:rPr>
      <w:rFonts w:ascii="Trebuchet MS" w:eastAsia="Calibri" w:hAnsi="Trebuchet MS" w:cs="Times New Roman"/>
      <w:b/>
    </w:rPr>
  </w:style>
  <w:style w:type="paragraph" w:styleId="ListNumber">
    <w:name w:val="List Number"/>
    <w:basedOn w:val="Default"/>
    <w:uiPriority w:val="99"/>
    <w:unhideWhenUsed/>
    <w:rsid w:val="00B267E6"/>
    <w:pPr>
      <w:numPr>
        <w:numId w:val="25"/>
      </w:numPr>
      <w:spacing w:after="240"/>
    </w:pPr>
    <w:rPr>
      <w:rFonts w:ascii="Rockwell" w:hAnsi="Rockwell" w:cstheme="minorHAnsi"/>
      <w:color w:val="211D1E"/>
      <w:sz w:val="22"/>
    </w:rPr>
  </w:style>
  <w:style w:type="paragraph" w:customStyle="1" w:styleId="MediumGrid21">
    <w:name w:val="Medium Grid 21"/>
    <w:uiPriority w:val="1"/>
    <w:rsid w:val="00450C6E"/>
    <w:pPr>
      <w:spacing w:after="0" w:line="240" w:lineRule="auto"/>
    </w:pPr>
    <w:rPr>
      <w:rFonts w:ascii="Calibri" w:eastAsia="Calibri" w:hAnsi="Calibri" w:cs="Times New Roman"/>
    </w:rPr>
  </w:style>
  <w:style w:type="character" w:customStyle="1" w:styleId="normalchar">
    <w:name w:val="normal__char"/>
    <w:rsid w:val="00450C6E"/>
  </w:style>
  <w:style w:type="paragraph" w:customStyle="1" w:styleId="Normal1">
    <w:name w:val="Normal1"/>
    <w:basedOn w:val="Normal"/>
    <w:rsid w:val="00450C6E"/>
    <w:pPr>
      <w:spacing w:before="100" w:beforeAutospacing="1" w:after="100" w:afterAutospacing="1" w:line="240" w:lineRule="auto"/>
    </w:pPr>
    <w:rPr>
      <w:rFonts w:ascii="Times New Roman" w:eastAsia="Times New Roman" w:hAnsi="Times New Roman"/>
      <w:sz w:val="24"/>
      <w:szCs w:val="24"/>
    </w:rPr>
  </w:style>
  <w:style w:type="paragraph" w:styleId="Quote">
    <w:name w:val="Quote"/>
    <w:basedOn w:val="Normal"/>
    <w:next w:val="Normal"/>
    <w:link w:val="QuoteChar"/>
    <w:uiPriority w:val="29"/>
    <w:rsid w:val="00450C6E"/>
    <w:rPr>
      <w:i/>
      <w:iCs/>
      <w:color w:val="000000"/>
    </w:rPr>
  </w:style>
  <w:style w:type="character" w:customStyle="1" w:styleId="QuoteChar">
    <w:name w:val="Quote Char"/>
    <w:link w:val="Quote"/>
    <w:uiPriority w:val="29"/>
    <w:rsid w:val="00450C6E"/>
    <w:rPr>
      <w:rFonts w:ascii="Trebuchet MS" w:eastAsia="Calibri" w:hAnsi="Trebuchet MS" w:cs="Times New Roman"/>
      <w:i/>
      <w:iCs/>
      <w:color w:val="000000"/>
    </w:rPr>
  </w:style>
  <w:style w:type="paragraph" w:styleId="Subtitle">
    <w:name w:val="Subtitle"/>
    <w:basedOn w:val="Normal"/>
    <w:next w:val="Normal"/>
    <w:link w:val="SubtitleChar"/>
    <w:uiPriority w:val="11"/>
    <w:qFormat/>
    <w:rsid w:val="00B267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67E6"/>
    <w:rPr>
      <w:rFonts w:ascii="Trebuchet MS" w:eastAsiaTheme="minorEastAsia" w:hAnsi="Trebuchet MS" w:cs="Times New Roman"/>
      <w:color w:val="5A5A5A" w:themeColor="text1" w:themeTint="A5"/>
      <w:spacing w:val="15"/>
    </w:rPr>
  </w:style>
  <w:style w:type="character" w:styleId="SubtleEmphasis">
    <w:name w:val="Subtle Emphasis"/>
    <w:basedOn w:val="DefaultParagraphFont"/>
    <w:uiPriority w:val="19"/>
    <w:qFormat/>
    <w:rsid w:val="00B267E6"/>
    <w:rPr>
      <w:i/>
      <w:iCs/>
      <w:color w:val="404040" w:themeColor="text1" w:themeTint="BF"/>
    </w:rPr>
  </w:style>
  <w:style w:type="table" w:styleId="TableGrid">
    <w:name w:val="Table Grid"/>
    <w:basedOn w:val="TableNormal"/>
    <w:uiPriority w:val="59"/>
    <w:rsid w:val="00450C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450C6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50C6E"/>
    <w:rPr>
      <w:rFonts w:ascii="Cambria" w:eastAsia="Times New Roman" w:hAnsi="Cambria" w:cs="Times New Roman"/>
      <w:b/>
      <w:bCs/>
      <w:kern w:val="28"/>
      <w:sz w:val="32"/>
      <w:szCs w:val="32"/>
    </w:rPr>
  </w:style>
  <w:style w:type="paragraph" w:customStyle="1" w:styleId="TopMatter">
    <w:name w:val="Top Matter"/>
    <w:basedOn w:val="Normal"/>
    <w:qFormat/>
    <w:rsid w:val="00B267E6"/>
    <w:pPr>
      <w:spacing w:after="0" w:line="240" w:lineRule="auto"/>
    </w:pPr>
    <w:rPr>
      <w:rFonts w:ascii="Rockwell" w:hAnsi="Rockwell"/>
      <w:b/>
      <w:bCs/>
    </w:rPr>
  </w:style>
  <w:style w:type="paragraph" w:customStyle="1" w:styleId="ControlCode">
    <w:name w:val="Control Code"/>
    <w:basedOn w:val="Normal"/>
    <w:qFormat/>
    <w:rsid w:val="00666804"/>
    <w:pPr>
      <w:spacing w:after="0"/>
      <w:jc w:val="righ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902">
      <w:bodyDiv w:val="1"/>
      <w:marLeft w:val="0"/>
      <w:marRight w:val="0"/>
      <w:marTop w:val="0"/>
      <w:marBottom w:val="0"/>
      <w:divBdr>
        <w:top w:val="none" w:sz="0" w:space="0" w:color="auto"/>
        <w:left w:val="none" w:sz="0" w:space="0" w:color="auto"/>
        <w:bottom w:val="none" w:sz="0" w:space="0" w:color="auto"/>
        <w:right w:val="none" w:sz="0" w:space="0" w:color="auto"/>
      </w:divBdr>
    </w:div>
    <w:div w:id="911737477">
      <w:bodyDiv w:val="1"/>
      <w:marLeft w:val="0"/>
      <w:marRight w:val="0"/>
      <w:marTop w:val="0"/>
      <w:marBottom w:val="0"/>
      <w:divBdr>
        <w:top w:val="none" w:sz="0" w:space="0" w:color="auto"/>
        <w:left w:val="none" w:sz="0" w:space="0" w:color="auto"/>
        <w:bottom w:val="none" w:sz="0" w:space="0" w:color="auto"/>
        <w:right w:val="none" w:sz="0" w:space="0" w:color="auto"/>
      </w:divBdr>
    </w:div>
    <w:div w:id="941300212">
      <w:bodyDiv w:val="1"/>
      <w:marLeft w:val="0"/>
      <w:marRight w:val="0"/>
      <w:marTop w:val="0"/>
      <w:marBottom w:val="0"/>
      <w:divBdr>
        <w:top w:val="none" w:sz="0" w:space="0" w:color="auto"/>
        <w:left w:val="none" w:sz="0" w:space="0" w:color="auto"/>
        <w:bottom w:val="none" w:sz="0" w:space="0" w:color="auto"/>
        <w:right w:val="none" w:sz="0" w:space="0" w:color="auto"/>
      </w:divBdr>
    </w:div>
    <w:div w:id="1190486470">
      <w:bodyDiv w:val="1"/>
      <w:marLeft w:val="0"/>
      <w:marRight w:val="0"/>
      <w:marTop w:val="0"/>
      <w:marBottom w:val="0"/>
      <w:divBdr>
        <w:top w:val="none" w:sz="0" w:space="0" w:color="auto"/>
        <w:left w:val="none" w:sz="0" w:space="0" w:color="auto"/>
        <w:bottom w:val="none" w:sz="0" w:space="0" w:color="auto"/>
        <w:right w:val="none" w:sz="0" w:space="0" w:color="auto"/>
      </w:divBdr>
    </w:div>
    <w:div w:id="1277564817">
      <w:bodyDiv w:val="1"/>
      <w:marLeft w:val="0"/>
      <w:marRight w:val="0"/>
      <w:marTop w:val="0"/>
      <w:marBottom w:val="0"/>
      <w:divBdr>
        <w:top w:val="none" w:sz="0" w:space="0" w:color="auto"/>
        <w:left w:val="none" w:sz="0" w:space="0" w:color="auto"/>
        <w:bottom w:val="none" w:sz="0" w:space="0" w:color="auto"/>
        <w:right w:val="none" w:sz="0" w:space="0" w:color="auto"/>
      </w:divBdr>
    </w:div>
    <w:div w:id="1476144809">
      <w:bodyDiv w:val="1"/>
      <w:marLeft w:val="0"/>
      <w:marRight w:val="0"/>
      <w:marTop w:val="0"/>
      <w:marBottom w:val="0"/>
      <w:divBdr>
        <w:top w:val="none" w:sz="0" w:space="0" w:color="auto"/>
        <w:left w:val="none" w:sz="0" w:space="0" w:color="auto"/>
        <w:bottom w:val="none" w:sz="0" w:space="0" w:color="auto"/>
        <w:right w:val="none" w:sz="0" w:space="0" w:color="auto"/>
      </w:divBdr>
    </w:div>
    <w:div w:id="20616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tsa.gov/es/seguridad-vial/conduccion-de-adultos-mayo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9495c2-1653-431d-afcb-a6a8de3ffc2a" xsi:nil="true"/>
    <lcf76f155ced4ddcb4097134ff3c332f xmlns="94caa5c0-2c66-440f-bc5e-57c3186d4d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4B9C6EA1D5C48824766315632AD3D" ma:contentTypeVersion="14" ma:contentTypeDescription="Create a new document." ma:contentTypeScope="" ma:versionID="a66bdfe4121d229387c6be42fc41f124">
  <xsd:schema xmlns:xsd="http://www.w3.org/2001/XMLSchema" xmlns:xs="http://www.w3.org/2001/XMLSchema" xmlns:p="http://schemas.microsoft.com/office/2006/metadata/properties" xmlns:ns2="94caa5c0-2c66-440f-bc5e-57c3186d4d45" xmlns:ns3="319495c2-1653-431d-afcb-a6a8de3ffc2a" targetNamespace="http://schemas.microsoft.com/office/2006/metadata/properties" ma:root="true" ma:fieldsID="a08be9ce645cb6dbd4afe969d5cb325a" ns2:_="" ns3:_="">
    <xsd:import namespace="94caa5c0-2c66-440f-bc5e-57c3186d4d45"/>
    <xsd:import namespace="319495c2-1653-431d-afcb-a6a8de3ff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a5c0-2c66-440f-bc5e-57c3186d4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495c2-1653-431d-afcb-a6a8de3ffc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337c77-a773-4529-bd67-6791890111b4}" ma:internalName="TaxCatchAll" ma:showField="CatchAllData" ma:web="319495c2-1653-431d-afcb-a6a8de3f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CC51-5481-4342-BB7D-74A4E72B7C56}">
  <ds:schemaRefs>
    <ds:schemaRef ds:uri="http://purl.org/dc/elements/1.1/"/>
    <ds:schemaRef ds:uri="319495c2-1653-431d-afcb-a6a8de3ffc2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4caa5c0-2c66-440f-bc5e-57c3186d4d45"/>
    <ds:schemaRef ds:uri="http://www.w3.org/XML/1998/namespace"/>
    <ds:schemaRef ds:uri="http://purl.org/dc/dcmitype/"/>
  </ds:schemaRefs>
</ds:datastoreItem>
</file>

<file path=customXml/itemProps2.xml><?xml version="1.0" encoding="utf-8"?>
<ds:datastoreItem xmlns:ds="http://schemas.openxmlformats.org/officeDocument/2006/customXml" ds:itemID="{AC7C2031-420C-4EC6-901E-9EFD355F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a5c0-2c66-440f-bc5e-57c3186d4d45"/>
    <ds:schemaRef ds:uri="319495c2-1653-431d-afcb-a6a8de3f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2BB3B-0714-4ADF-AEF1-779E1420A11E}">
  <ds:schemaRefs>
    <ds:schemaRef ds:uri="http://schemas.openxmlformats.org/officeDocument/2006/bibliography"/>
  </ds:schemaRefs>
</ds:datastoreItem>
</file>

<file path=customXml/itemProps4.xml><?xml version="1.0" encoding="utf-8"?>
<ds:datastoreItem xmlns:ds="http://schemas.openxmlformats.org/officeDocument/2006/customXml" ds:itemID="{50400099-AC69-4556-8FD8-57C48AC3B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Older Driver Awareness - Facts and Talking Points</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Driver Awareness - Facts and Talking Points - Spanish</dc:title>
  <dc:subject/>
  <dc:creator>NHTSA</dc:creator>
  <cp:keywords>NHTSA, older drivers, elderly, Conductores Mayores</cp:keywords>
  <dc:description/>
  <cp:lastModifiedBy>Lee, Amy CTR (NHTSA)</cp:lastModifiedBy>
  <cp:revision>3</cp:revision>
  <cp:lastPrinted>2023-11-07T20:16:00Z</cp:lastPrinted>
  <dcterms:created xsi:type="dcterms:W3CDTF">2023-11-08T02:46:00Z</dcterms:created>
  <dcterms:modified xsi:type="dcterms:W3CDTF">2023-11-08T21:07:00Z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0x0101001914B9C6EA1D5C48824766315632AD3D</vt:lpwstr>
  </property>
  <property fmtid="{D5CDD505-2E9C-101B-9397-08002B2CF9AE}" pid="3" name="MediaServiceImageTags">
    <vt:lpwstr/>
  </property>
</Properties>
</file>