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CFB7" w14:textId="4E19B64E" w:rsidR="00FA734A" w:rsidRPr="0039360D" w:rsidRDefault="003638B4" w:rsidP="00FA734A">
      <w:pPr>
        <w:pStyle w:val="Heading3"/>
        <w:jc w:val="center"/>
        <w:rPr>
          <w:rFonts w:ascii="Rockwell" w:hAnsi="Rockwell"/>
          <w:noProof/>
          <w:sz w:val="28"/>
        </w:rPr>
      </w:pPr>
      <w:r>
        <w:rPr>
          <w:rFonts w:ascii="Rockwell" w:hAnsi="Rockwell"/>
          <w:noProof/>
          <w:sz w:val="28"/>
        </w:rPr>
        <w:t>Open Container Laws</w:t>
      </w:r>
      <w:r w:rsidR="00C91118">
        <w:rPr>
          <w:rFonts w:ascii="Rockwell" w:hAnsi="Rockwell"/>
          <w:i/>
          <w:noProof/>
          <w:sz w:val="28"/>
        </w:rPr>
        <w:t xml:space="preserve"> </w:t>
      </w:r>
    </w:p>
    <w:p w14:paraId="17CDD41B" w14:textId="33E36953" w:rsidR="00806C5F" w:rsidRDefault="007E737C" w:rsidP="00A654B2">
      <w:pPr>
        <w:pStyle w:val="Heading2"/>
        <w:rPr>
          <w:caps w:val="0"/>
        </w:rPr>
      </w:pPr>
      <w:r>
        <w:rPr>
          <w:caps w:val="0"/>
        </w:rPr>
        <w:t>Talking Points</w:t>
      </w:r>
    </w:p>
    <w:p w14:paraId="19A7B873" w14:textId="482FF16B" w:rsidR="00536528" w:rsidRDefault="0012357E" w:rsidP="00500160">
      <w:pPr>
        <w:spacing w:before="120" w:after="120"/>
      </w:pPr>
      <w:r>
        <w:t>Join t</w:t>
      </w:r>
      <w:r w:rsidR="00536528">
        <w:t xml:space="preserve">he </w:t>
      </w:r>
      <w:r w:rsidR="00715468">
        <w:t xml:space="preserve">U.S. Department of Transportation’s </w:t>
      </w:r>
      <w:r w:rsidR="00D65B1E">
        <w:t>National Highwa</w:t>
      </w:r>
      <w:r w:rsidR="00753A8A">
        <w:t>y Traffic Safety Administration</w:t>
      </w:r>
      <w:r w:rsidR="00536528">
        <w:t xml:space="preserve"> (NHTSA) to remind drivers and passengers that while the </w:t>
      </w:r>
      <w:r w:rsidR="001153BF">
        <w:t xml:space="preserve">ability to </w:t>
      </w:r>
      <w:r w:rsidR="00536528">
        <w:t xml:space="preserve">transport </w:t>
      </w:r>
      <w:r w:rsidR="001B08AE">
        <w:t xml:space="preserve">containers </w:t>
      </w:r>
      <w:r w:rsidR="00536528">
        <w:t xml:space="preserve">of alcohol </w:t>
      </w:r>
      <w:r w:rsidR="001B08AE">
        <w:t xml:space="preserve">from restaurants </w:t>
      </w:r>
      <w:r w:rsidR="00536528">
        <w:t xml:space="preserve">may have </w:t>
      </w:r>
      <w:r w:rsidR="00536528" w:rsidRPr="00AB6500">
        <w:t>changed,</w:t>
      </w:r>
      <w:r w:rsidR="00536528">
        <w:t xml:space="preserve"> it is still illegal </w:t>
      </w:r>
      <w:r w:rsidR="00D04E7E">
        <w:t xml:space="preserve">in most </w:t>
      </w:r>
      <w:r w:rsidR="00722620">
        <w:t>communities</w:t>
      </w:r>
      <w:r w:rsidR="00D04E7E">
        <w:t xml:space="preserve"> </w:t>
      </w:r>
      <w:r w:rsidR="00536528">
        <w:t xml:space="preserve">to have open containers </w:t>
      </w:r>
      <w:r w:rsidR="006F3FB9">
        <w:t xml:space="preserve">of alcohol </w:t>
      </w:r>
      <w:r w:rsidR="00536528">
        <w:t>in a vehicle</w:t>
      </w:r>
      <w:r w:rsidR="00ED76D9">
        <w:t>. Most importantly: It is</w:t>
      </w:r>
      <w:r w:rsidR="00A00BB5">
        <w:t xml:space="preserve"> </w:t>
      </w:r>
      <w:r w:rsidR="00542929">
        <w:t>never okay</w:t>
      </w:r>
      <w:r w:rsidR="00B23025">
        <w:t xml:space="preserve"> to consume alcohol while driving</w:t>
      </w:r>
      <w:r w:rsidR="00536528">
        <w:t xml:space="preserve">.  </w:t>
      </w:r>
    </w:p>
    <w:p w14:paraId="07A53D13" w14:textId="363ADE77" w:rsidR="00ED76D9" w:rsidRPr="00ED76D9" w:rsidRDefault="0012357E" w:rsidP="00ED76D9">
      <w:pPr>
        <w:spacing w:before="120" w:after="120"/>
      </w:pPr>
      <w:r>
        <w:rPr>
          <w:b/>
          <w:bCs/>
        </w:rPr>
        <w:t>Overview</w:t>
      </w:r>
    </w:p>
    <w:p w14:paraId="50A11753" w14:textId="77777777" w:rsidR="0012357E" w:rsidRDefault="0012357E" w:rsidP="00A2625A">
      <w:pPr>
        <w:numPr>
          <w:ilvl w:val="0"/>
          <w:numId w:val="2"/>
        </w:numPr>
        <w:spacing w:before="120" w:after="120"/>
      </w:pPr>
      <w:r>
        <w:t xml:space="preserve">Some laws governing alcohol service and delivery have either temporarily or permanently changed. </w:t>
      </w:r>
    </w:p>
    <w:p w14:paraId="044CD706" w14:textId="0B75573F" w:rsidR="0012357E" w:rsidRDefault="0012357E" w:rsidP="00A2625A">
      <w:pPr>
        <w:numPr>
          <w:ilvl w:val="0"/>
          <w:numId w:val="2"/>
        </w:numPr>
        <w:spacing w:before="120" w:after="120"/>
      </w:pPr>
      <w:r>
        <w:t xml:space="preserve">Many states and communities now permit restaurants to offer cocktails to go, allowing restaurants to offer beer, wine, and spirits for carryout in addition to on-site consumption. </w:t>
      </w:r>
    </w:p>
    <w:p w14:paraId="79AAE2CC" w14:textId="77777777" w:rsidR="0012357E" w:rsidRDefault="0012357E" w:rsidP="00A2625A">
      <w:pPr>
        <w:numPr>
          <w:ilvl w:val="0"/>
          <w:numId w:val="2"/>
        </w:numPr>
        <w:spacing w:before="120" w:after="120"/>
      </w:pPr>
      <w:r>
        <w:t>W</w:t>
      </w:r>
      <w:r w:rsidR="00640739">
        <w:t xml:space="preserve">hile alcohol carryout is now easier in many </w:t>
      </w:r>
      <w:r w:rsidR="00701755">
        <w:t>s</w:t>
      </w:r>
      <w:r w:rsidR="00640739">
        <w:t xml:space="preserve">tates, it’s never okay to drink and drive. </w:t>
      </w:r>
    </w:p>
    <w:p w14:paraId="14E7E099" w14:textId="77777777" w:rsidR="0012357E" w:rsidRDefault="5FC71DA5" w:rsidP="00A2625A">
      <w:pPr>
        <w:numPr>
          <w:ilvl w:val="0"/>
          <w:numId w:val="2"/>
        </w:numPr>
        <w:spacing w:before="120" w:after="120"/>
      </w:pPr>
      <w:r>
        <w:t xml:space="preserve">For some, even one drink may be one drink too many. </w:t>
      </w:r>
    </w:p>
    <w:p w14:paraId="308E866F" w14:textId="159F21FF" w:rsidR="00F40B50" w:rsidRDefault="00640739" w:rsidP="00A2625A">
      <w:pPr>
        <w:numPr>
          <w:ilvl w:val="0"/>
          <w:numId w:val="2"/>
        </w:numPr>
        <w:spacing w:before="120" w:after="120"/>
      </w:pPr>
      <w:r>
        <w:t>Wait until you arrive at your</w:t>
      </w:r>
      <w:r w:rsidR="00537DFC">
        <w:t xml:space="preserve"> </w:t>
      </w:r>
      <w:proofErr w:type="gramStart"/>
      <w:r w:rsidR="00537DFC">
        <w:t>final</w:t>
      </w:r>
      <w:r>
        <w:t xml:space="preserve"> destination</w:t>
      </w:r>
      <w:proofErr w:type="gramEnd"/>
      <w:r>
        <w:t xml:space="preserve"> before you drink your beverage. </w:t>
      </w:r>
    </w:p>
    <w:p w14:paraId="0CA6FEAA" w14:textId="6B6AD4B6" w:rsidR="00F40B50" w:rsidRDefault="00F40B50" w:rsidP="00F40B50">
      <w:pPr>
        <w:numPr>
          <w:ilvl w:val="0"/>
          <w:numId w:val="2"/>
        </w:numPr>
        <w:spacing w:before="120" w:after="120"/>
      </w:pPr>
      <w:r>
        <w:t>Nationally, it is illegal to drive with a BAC of .08 g/dL or higher, except in Utah, where the limit is .05 g/dL.</w:t>
      </w:r>
      <w:r w:rsidR="001B08AE">
        <w:t xml:space="preserve">   </w:t>
      </w:r>
    </w:p>
    <w:p w14:paraId="64B73DE2" w14:textId="77777777" w:rsidR="0012357E" w:rsidRDefault="0012357E" w:rsidP="00D35CF0">
      <w:pPr>
        <w:spacing w:before="120" w:after="120"/>
        <w:ind w:left="360"/>
      </w:pPr>
    </w:p>
    <w:p w14:paraId="4A92EB9D" w14:textId="77777777" w:rsidR="007E737C" w:rsidRDefault="007E737C" w:rsidP="38983A68">
      <w:pPr>
        <w:rPr>
          <w:b/>
          <w:bCs/>
        </w:rPr>
      </w:pPr>
      <w:bookmarkStart w:id="0" w:name="_Hlk153014675"/>
      <w:commentRangeStart w:id="1"/>
      <w:r>
        <w:rPr>
          <w:b/>
          <w:bCs/>
        </w:rPr>
        <w:t>Laws</w:t>
      </w:r>
      <w:commentRangeEnd w:id="1"/>
      <w:r>
        <w:rPr>
          <w:rStyle w:val="CommentReference"/>
        </w:rPr>
        <w:commentReference w:id="1"/>
      </w:r>
    </w:p>
    <w:bookmarkEnd w:id="0"/>
    <w:p w14:paraId="70318C91" w14:textId="77777777" w:rsidR="0012357E" w:rsidRDefault="0012357E" w:rsidP="38983A68">
      <w:pPr>
        <w:rPr>
          <w:b/>
          <w:bCs/>
        </w:rPr>
      </w:pPr>
    </w:p>
    <w:p w14:paraId="414C7940" w14:textId="2C2A5CA9" w:rsidR="00336256" w:rsidRPr="00336256" w:rsidRDefault="00336256" w:rsidP="38983A68">
      <w:pPr>
        <w:rPr>
          <w:b/>
          <w:bCs/>
        </w:rPr>
      </w:pPr>
      <w:r w:rsidRPr="38983A68">
        <w:rPr>
          <w:b/>
          <w:bCs/>
        </w:rPr>
        <w:t>The Cost of Drunk Driving</w:t>
      </w:r>
    </w:p>
    <w:p w14:paraId="148EAC3B" w14:textId="2504083A" w:rsidR="00F40B50" w:rsidRDefault="00F40B50" w:rsidP="00F40B50">
      <w:pPr>
        <w:numPr>
          <w:ilvl w:val="0"/>
          <w:numId w:val="9"/>
        </w:numPr>
        <w:spacing w:before="120" w:after="120"/>
      </w:pPr>
      <w:r>
        <w:t xml:space="preserve">The financial impact from impaired-driving crashes is </w:t>
      </w:r>
      <w:proofErr w:type="gramStart"/>
      <w:r w:rsidR="00475F10">
        <w:t>devastating:</w:t>
      </w:r>
      <w:proofErr w:type="gramEnd"/>
      <w:r w:rsidR="00475F10">
        <w:t xml:space="preserve"> C</w:t>
      </w:r>
      <w:r w:rsidRPr="00B16B26">
        <w:t xml:space="preserve">rashes in which alcohol was the cause resulted in </w:t>
      </w:r>
      <w:r w:rsidR="00B373F1" w:rsidRPr="00B373F1">
        <w:t>$57 billion in economic costs</w:t>
      </w:r>
      <w:r w:rsidRPr="00B16B26">
        <w:t>.</w:t>
      </w:r>
    </w:p>
    <w:p w14:paraId="407209C2" w14:textId="547AC1CA" w:rsidR="00F40B50" w:rsidRDefault="00F40B50" w:rsidP="00F40B50">
      <w:pPr>
        <w:numPr>
          <w:ilvl w:val="0"/>
          <w:numId w:val="9"/>
        </w:numPr>
        <w:spacing w:before="120" w:after="120"/>
        <w:rPr>
          <w:b/>
          <w:color w:val="000000"/>
        </w:rPr>
      </w:pPr>
      <w:r>
        <w:t>Drinking and driving is a risk no one should take</w:t>
      </w:r>
      <w:r w:rsidR="00DF0111">
        <w:t>;</w:t>
      </w:r>
      <w:r w:rsidR="00475F10">
        <w:t xml:space="preserve"> d</w:t>
      </w:r>
      <w:r>
        <w:t>oing so can cause injury or death to the driver, passengers, and others on the road. The consequences of drunk driving could be life-altering.</w:t>
      </w:r>
    </w:p>
    <w:p w14:paraId="3679DF2D" w14:textId="77777777" w:rsidR="00603368" w:rsidRDefault="00603368" w:rsidP="004944B0">
      <w:pPr>
        <w:rPr>
          <w:color w:val="000000"/>
        </w:rPr>
      </w:pPr>
    </w:p>
    <w:p w14:paraId="71DD3035" w14:textId="77777777" w:rsidR="00603368" w:rsidRDefault="00603368" w:rsidP="00603368">
      <w:pPr>
        <w:rPr>
          <w:b/>
          <w:bCs/>
        </w:rPr>
      </w:pPr>
      <w:bookmarkStart w:id="2" w:name="_Hlk153014705"/>
      <w:commentRangeStart w:id="3"/>
      <w:r>
        <w:rPr>
          <w:b/>
          <w:bCs/>
        </w:rPr>
        <w:t>Stats</w:t>
      </w:r>
      <w:commentRangeEnd w:id="3"/>
      <w:r>
        <w:rPr>
          <w:rStyle w:val="CommentReference"/>
        </w:rPr>
        <w:commentReference w:id="3"/>
      </w:r>
    </w:p>
    <w:bookmarkEnd w:id="2"/>
    <w:p w14:paraId="27B1EFCD" w14:textId="77777777" w:rsidR="0012357E" w:rsidRDefault="0012357E" w:rsidP="004944B0">
      <w:pPr>
        <w:rPr>
          <w:color w:val="000000"/>
        </w:rPr>
      </w:pPr>
    </w:p>
    <w:p w14:paraId="34F6588F" w14:textId="347C82C8" w:rsidR="005D3880" w:rsidRPr="000E1B16" w:rsidRDefault="00D65B1E" w:rsidP="004944B0">
      <w:r w:rsidRPr="00D508E2">
        <w:rPr>
          <w:color w:val="000000"/>
        </w:rPr>
        <w:t xml:space="preserve">For more information about the </w:t>
      </w:r>
      <w:r w:rsidR="00536528">
        <w:rPr>
          <w:i/>
          <w:color w:val="000000"/>
        </w:rPr>
        <w:t xml:space="preserve">Buzzed Driving Is Drunk Driving </w:t>
      </w:r>
      <w:r w:rsidRPr="00D508E2">
        <w:rPr>
          <w:color w:val="000000"/>
        </w:rPr>
        <w:t xml:space="preserve">campaign, visit </w:t>
      </w:r>
      <w:hyperlink r:id="rId10" w:history="1">
        <w:r w:rsidR="008D10FE">
          <w:rPr>
            <w:rStyle w:val="Hyperlink"/>
          </w:rPr>
          <w:t>www.nhtsa.gov/risky-driving/drunk-driving</w:t>
        </w:r>
      </w:hyperlink>
      <w:r w:rsidRPr="00D508E2">
        <w:t>.</w:t>
      </w:r>
    </w:p>
    <w:sectPr w:rsidR="005D3880" w:rsidRPr="000E1B16" w:rsidSect="00ED76D9">
      <w:headerReference w:type="default" r:id="rId11"/>
      <w:pgSz w:w="12240" w:h="15840"/>
      <w:pgMar w:top="2448" w:right="1440" w:bottom="153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0AC42A2A" w14:textId="458A1FEB" w:rsidR="007E737C" w:rsidRDefault="007E737C" w:rsidP="007E737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Localize: If applicable, we encourage you to insert your local/state open container laws. </w:t>
      </w:r>
    </w:p>
  </w:comment>
  <w:comment w:id="3" w:author="Author" w:initials="A">
    <w:p w14:paraId="4D8F4907" w14:textId="692FF2D9" w:rsidR="00603368" w:rsidRDefault="00603368" w:rsidP="00603368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Localize: We encourage you to insert your local/state statistics related to this topic. </w:t>
      </w:r>
      <w:r>
        <w:rPr>
          <w:rFonts w:ascii="Calibri" w:hAnsi="Calibri" w:cs="Calibri"/>
        </w:rPr>
        <w:br/>
        <w:t xml:space="preserve">For national statics, visit </w:t>
      </w:r>
      <w:hyperlink r:id="rId1" w:anchor="1661" w:history="1">
        <w:r w:rsidRPr="00C93F99">
          <w:rPr>
            <w:rStyle w:val="Hyperlink"/>
            <w:rFonts w:ascii="Calibri" w:hAnsi="Calibri" w:cs="Calibri"/>
          </w:rPr>
          <w:t>https://trafficsafetymarketing.gov/safety-topics/drunk-driving#1661</w:t>
        </w:r>
      </w:hyperlink>
      <w:r>
        <w:rPr>
          <w:rFonts w:ascii="Calibri" w:hAnsi="Calibri" w:cs="Calibri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C42A2A" w15:done="0"/>
  <w15:commentEx w15:paraId="4D8F49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C42A2A" w16cid:durableId="291ECD33"/>
  <w16cid:commentId w16cid:paraId="4D8F4907" w16cid:durableId="291ECE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A19C" w14:textId="77777777" w:rsidR="005E1EDB" w:rsidRDefault="005E1EDB" w:rsidP="00901CE9">
      <w:r>
        <w:separator/>
      </w:r>
    </w:p>
  </w:endnote>
  <w:endnote w:type="continuationSeparator" w:id="0">
    <w:p w14:paraId="75986878" w14:textId="77777777" w:rsidR="005E1EDB" w:rsidRDefault="005E1EDB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8764" w14:textId="77777777" w:rsidR="005E1EDB" w:rsidRDefault="005E1EDB" w:rsidP="00901CE9">
      <w:r>
        <w:separator/>
      </w:r>
    </w:p>
  </w:footnote>
  <w:footnote w:type="continuationSeparator" w:id="0">
    <w:p w14:paraId="217AD4AD" w14:textId="77777777" w:rsidR="005E1EDB" w:rsidRDefault="005E1EDB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CECF" w14:textId="0E8A7676" w:rsidR="00C52F03" w:rsidRDefault="00F40B50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6A1AFE06" wp14:editId="28902DBC">
          <wp:extent cx="1334770" cy="920115"/>
          <wp:effectExtent l="0" t="0" r="0" b="0"/>
          <wp:docPr id="9" name="Picture 9" descr="Buzzed Driving is Drunk Driv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uzzed Driving is Drunk Driving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2CFF"/>
    <w:multiLevelType w:val="hybridMultilevel"/>
    <w:tmpl w:val="C17C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B85"/>
    <w:multiLevelType w:val="hybridMultilevel"/>
    <w:tmpl w:val="BE624B22"/>
    <w:lvl w:ilvl="0" w:tplc="E90039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884601"/>
    <w:multiLevelType w:val="hybridMultilevel"/>
    <w:tmpl w:val="ADF2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47128"/>
    <w:multiLevelType w:val="hybridMultilevel"/>
    <w:tmpl w:val="B154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1290">
    <w:abstractNumId w:val="0"/>
  </w:num>
  <w:num w:numId="2" w16cid:durableId="1092045254">
    <w:abstractNumId w:val="7"/>
  </w:num>
  <w:num w:numId="3" w16cid:durableId="1135297977">
    <w:abstractNumId w:val="3"/>
  </w:num>
  <w:num w:numId="4" w16cid:durableId="1644039872">
    <w:abstractNumId w:val="6"/>
  </w:num>
  <w:num w:numId="5" w16cid:durableId="370227169">
    <w:abstractNumId w:val="1"/>
  </w:num>
  <w:num w:numId="6" w16cid:durableId="1276791394">
    <w:abstractNumId w:val="7"/>
  </w:num>
  <w:num w:numId="7" w16cid:durableId="1570965833">
    <w:abstractNumId w:val="8"/>
  </w:num>
  <w:num w:numId="8" w16cid:durableId="1192645668">
    <w:abstractNumId w:val="2"/>
  </w:num>
  <w:num w:numId="9" w16cid:durableId="919366605">
    <w:abstractNumId w:val="5"/>
  </w:num>
  <w:num w:numId="10" w16cid:durableId="1444614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13BB3"/>
    <w:rsid w:val="00015212"/>
    <w:rsid w:val="00024E26"/>
    <w:rsid w:val="00035118"/>
    <w:rsid w:val="00037FE6"/>
    <w:rsid w:val="000663F2"/>
    <w:rsid w:val="000920F3"/>
    <w:rsid w:val="00095A30"/>
    <w:rsid w:val="000A00B2"/>
    <w:rsid w:val="000A05D1"/>
    <w:rsid w:val="000C3939"/>
    <w:rsid w:val="000C5EF3"/>
    <w:rsid w:val="000D57D2"/>
    <w:rsid w:val="000E1B16"/>
    <w:rsid w:val="000E2557"/>
    <w:rsid w:val="00105F4F"/>
    <w:rsid w:val="001153BF"/>
    <w:rsid w:val="0012357E"/>
    <w:rsid w:val="00143E79"/>
    <w:rsid w:val="00157E6E"/>
    <w:rsid w:val="00161F42"/>
    <w:rsid w:val="00167330"/>
    <w:rsid w:val="00185E88"/>
    <w:rsid w:val="00186DA0"/>
    <w:rsid w:val="001A1424"/>
    <w:rsid w:val="001A6074"/>
    <w:rsid w:val="001A7167"/>
    <w:rsid w:val="001B08AE"/>
    <w:rsid w:val="001E692F"/>
    <w:rsid w:val="00205F4F"/>
    <w:rsid w:val="00207A7C"/>
    <w:rsid w:val="0021528E"/>
    <w:rsid w:val="00234B64"/>
    <w:rsid w:val="002422D9"/>
    <w:rsid w:val="002515A9"/>
    <w:rsid w:val="00291768"/>
    <w:rsid w:val="00295062"/>
    <w:rsid w:val="002A6AAF"/>
    <w:rsid w:val="002B4917"/>
    <w:rsid w:val="002B66C6"/>
    <w:rsid w:val="002C1948"/>
    <w:rsid w:val="002C5FF8"/>
    <w:rsid w:val="002D0494"/>
    <w:rsid w:val="00302F37"/>
    <w:rsid w:val="00305B98"/>
    <w:rsid w:val="00307966"/>
    <w:rsid w:val="003333CA"/>
    <w:rsid w:val="00336256"/>
    <w:rsid w:val="00343E03"/>
    <w:rsid w:val="0034682B"/>
    <w:rsid w:val="00352A56"/>
    <w:rsid w:val="003638B4"/>
    <w:rsid w:val="00363F11"/>
    <w:rsid w:val="0038061F"/>
    <w:rsid w:val="00392B7F"/>
    <w:rsid w:val="003A3D71"/>
    <w:rsid w:val="003B4F04"/>
    <w:rsid w:val="003D2D80"/>
    <w:rsid w:val="003D4793"/>
    <w:rsid w:val="003D7DF1"/>
    <w:rsid w:val="003F2509"/>
    <w:rsid w:val="0040085B"/>
    <w:rsid w:val="00415BBC"/>
    <w:rsid w:val="00421550"/>
    <w:rsid w:val="00424935"/>
    <w:rsid w:val="0044490E"/>
    <w:rsid w:val="00451FDF"/>
    <w:rsid w:val="00472456"/>
    <w:rsid w:val="00475F10"/>
    <w:rsid w:val="00483AD5"/>
    <w:rsid w:val="00485050"/>
    <w:rsid w:val="004944B0"/>
    <w:rsid w:val="004A21EF"/>
    <w:rsid w:val="004C24B4"/>
    <w:rsid w:val="004C3458"/>
    <w:rsid w:val="004C4AFA"/>
    <w:rsid w:val="004D21EE"/>
    <w:rsid w:val="004D44B2"/>
    <w:rsid w:val="004D77A2"/>
    <w:rsid w:val="004F4B52"/>
    <w:rsid w:val="004F7615"/>
    <w:rsid w:val="00500160"/>
    <w:rsid w:val="00512BFB"/>
    <w:rsid w:val="00515528"/>
    <w:rsid w:val="00536528"/>
    <w:rsid w:val="00537DFC"/>
    <w:rsid w:val="00542929"/>
    <w:rsid w:val="005430D9"/>
    <w:rsid w:val="00550936"/>
    <w:rsid w:val="00557CBB"/>
    <w:rsid w:val="00565486"/>
    <w:rsid w:val="0057195F"/>
    <w:rsid w:val="005A6059"/>
    <w:rsid w:val="005B0942"/>
    <w:rsid w:val="005C0EEA"/>
    <w:rsid w:val="005C79EC"/>
    <w:rsid w:val="005D3880"/>
    <w:rsid w:val="005E0326"/>
    <w:rsid w:val="005E1EDB"/>
    <w:rsid w:val="005E42DD"/>
    <w:rsid w:val="00603243"/>
    <w:rsid w:val="00603368"/>
    <w:rsid w:val="00604280"/>
    <w:rsid w:val="00604E19"/>
    <w:rsid w:val="00622B5B"/>
    <w:rsid w:val="00624631"/>
    <w:rsid w:val="00625A39"/>
    <w:rsid w:val="0062715D"/>
    <w:rsid w:val="00636AEB"/>
    <w:rsid w:val="00640739"/>
    <w:rsid w:val="00642203"/>
    <w:rsid w:val="00646DFD"/>
    <w:rsid w:val="0067003C"/>
    <w:rsid w:val="00671050"/>
    <w:rsid w:val="00672251"/>
    <w:rsid w:val="00673C85"/>
    <w:rsid w:val="00697610"/>
    <w:rsid w:val="006A26F0"/>
    <w:rsid w:val="006B7DA4"/>
    <w:rsid w:val="006D0C79"/>
    <w:rsid w:val="006D54AF"/>
    <w:rsid w:val="006F3FB9"/>
    <w:rsid w:val="00701755"/>
    <w:rsid w:val="007153AF"/>
    <w:rsid w:val="00715468"/>
    <w:rsid w:val="00722620"/>
    <w:rsid w:val="00753A8A"/>
    <w:rsid w:val="0075654F"/>
    <w:rsid w:val="00757B08"/>
    <w:rsid w:val="0077096D"/>
    <w:rsid w:val="00780626"/>
    <w:rsid w:val="00784A4C"/>
    <w:rsid w:val="007A168D"/>
    <w:rsid w:val="007A5654"/>
    <w:rsid w:val="007C2723"/>
    <w:rsid w:val="007C61BB"/>
    <w:rsid w:val="007D5238"/>
    <w:rsid w:val="007E1F50"/>
    <w:rsid w:val="007E737C"/>
    <w:rsid w:val="007F0F99"/>
    <w:rsid w:val="00804826"/>
    <w:rsid w:val="00806C5F"/>
    <w:rsid w:val="00824066"/>
    <w:rsid w:val="00835594"/>
    <w:rsid w:val="00844FAB"/>
    <w:rsid w:val="008459C9"/>
    <w:rsid w:val="00846098"/>
    <w:rsid w:val="00867337"/>
    <w:rsid w:val="008B6819"/>
    <w:rsid w:val="008B6C4C"/>
    <w:rsid w:val="008C149B"/>
    <w:rsid w:val="008D10FE"/>
    <w:rsid w:val="0090125B"/>
    <w:rsid w:val="0090127E"/>
    <w:rsid w:val="00901CE9"/>
    <w:rsid w:val="00902A93"/>
    <w:rsid w:val="009030B7"/>
    <w:rsid w:val="00903E93"/>
    <w:rsid w:val="00905462"/>
    <w:rsid w:val="0093027A"/>
    <w:rsid w:val="0094510B"/>
    <w:rsid w:val="009576BE"/>
    <w:rsid w:val="009628F0"/>
    <w:rsid w:val="00966B71"/>
    <w:rsid w:val="00975764"/>
    <w:rsid w:val="009A470B"/>
    <w:rsid w:val="009A5F02"/>
    <w:rsid w:val="009C0118"/>
    <w:rsid w:val="009C1759"/>
    <w:rsid w:val="009E3F3A"/>
    <w:rsid w:val="009F3460"/>
    <w:rsid w:val="009F68B3"/>
    <w:rsid w:val="009F71D7"/>
    <w:rsid w:val="00A00BB5"/>
    <w:rsid w:val="00A01734"/>
    <w:rsid w:val="00A034F3"/>
    <w:rsid w:val="00A04415"/>
    <w:rsid w:val="00A11B27"/>
    <w:rsid w:val="00A17F29"/>
    <w:rsid w:val="00A209DF"/>
    <w:rsid w:val="00A345FE"/>
    <w:rsid w:val="00A35E1A"/>
    <w:rsid w:val="00A436A1"/>
    <w:rsid w:val="00A519A9"/>
    <w:rsid w:val="00A533BF"/>
    <w:rsid w:val="00A55822"/>
    <w:rsid w:val="00A654B2"/>
    <w:rsid w:val="00A74858"/>
    <w:rsid w:val="00A77193"/>
    <w:rsid w:val="00A80AFB"/>
    <w:rsid w:val="00A81E1D"/>
    <w:rsid w:val="00A83C4C"/>
    <w:rsid w:val="00A90A9E"/>
    <w:rsid w:val="00AA106A"/>
    <w:rsid w:val="00AB6500"/>
    <w:rsid w:val="00AC37B2"/>
    <w:rsid w:val="00AD20C0"/>
    <w:rsid w:val="00AD3AFD"/>
    <w:rsid w:val="00AD7803"/>
    <w:rsid w:val="00AE3A48"/>
    <w:rsid w:val="00AE3DBD"/>
    <w:rsid w:val="00B0515A"/>
    <w:rsid w:val="00B23025"/>
    <w:rsid w:val="00B3235A"/>
    <w:rsid w:val="00B331E3"/>
    <w:rsid w:val="00B3657A"/>
    <w:rsid w:val="00B373F1"/>
    <w:rsid w:val="00B61752"/>
    <w:rsid w:val="00B63986"/>
    <w:rsid w:val="00B9273B"/>
    <w:rsid w:val="00BB0B4A"/>
    <w:rsid w:val="00BB1112"/>
    <w:rsid w:val="00BE16BD"/>
    <w:rsid w:val="00BE603D"/>
    <w:rsid w:val="00BE6295"/>
    <w:rsid w:val="00BF0673"/>
    <w:rsid w:val="00C00CE9"/>
    <w:rsid w:val="00C013B7"/>
    <w:rsid w:val="00C14E6E"/>
    <w:rsid w:val="00C15EB8"/>
    <w:rsid w:val="00C265C5"/>
    <w:rsid w:val="00C4552F"/>
    <w:rsid w:val="00C47E89"/>
    <w:rsid w:val="00C52F03"/>
    <w:rsid w:val="00C55758"/>
    <w:rsid w:val="00C61D1F"/>
    <w:rsid w:val="00C64E8A"/>
    <w:rsid w:val="00C6590F"/>
    <w:rsid w:val="00C7743A"/>
    <w:rsid w:val="00C91118"/>
    <w:rsid w:val="00CA1A42"/>
    <w:rsid w:val="00CB76C0"/>
    <w:rsid w:val="00CC1781"/>
    <w:rsid w:val="00CC5909"/>
    <w:rsid w:val="00CD4C82"/>
    <w:rsid w:val="00CD7425"/>
    <w:rsid w:val="00CE4D95"/>
    <w:rsid w:val="00CE7F96"/>
    <w:rsid w:val="00D04E7E"/>
    <w:rsid w:val="00D11077"/>
    <w:rsid w:val="00D144D6"/>
    <w:rsid w:val="00D228E0"/>
    <w:rsid w:val="00D22A51"/>
    <w:rsid w:val="00D27E21"/>
    <w:rsid w:val="00D35CF0"/>
    <w:rsid w:val="00D35ED4"/>
    <w:rsid w:val="00D3792F"/>
    <w:rsid w:val="00D508E2"/>
    <w:rsid w:val="00D55119"/>
    <w:rsid w:val="00D565CC"/>
    <w:rsid w:val="00D65B1E"/>
    <w:rsid w:val="00D67207"/>
    <w:rsid w:val="00D774BE"/>
    <w:rsid w:val="00D80439"/>
    <w:rsid w:val="00D92FE1"/>
    <w:rsid w:val="00DA29DC"/>
    <w:rsid w:val="00DA5326"/>
    <w:rsid w:val="00DB1E79"/>
    <w:rsid w:val="00DC0501"/>
    <w:rsid w:val="00DD4A9B"/>
    <w:rsid w:val="00DE2078"/>
    <w:rsid w:val="00DE4570"/>
    <w:rsid w:val="00DE4EF2"/>
    <w:rsid w:val="00DE6129"/>
    <w:rsid w:val="00DF0111"/>
    <w:rsid w:val="00E00485"/>
    <w:rsid w:val="00E04F91"/>
    <w:rsid w:val="00E14CE6"/>
    <w:rsid w:val="00E31AC0"/>
    <w:rsid w:val="00E40652"/>
    <w:rsid w:val="00E4301E"/>
    <w:rsid w:val="00E53BEF"/>
    <w:rsid w:val="00E61E96"/>
    <w:rsid w:val="00E70651"/>
    <w:rsid w:val="00E746E2"/>
    <w:rsid w:val="00E82302"/>
    <w:rsid w:val="00E846B3"/>
    <w:rsid w:val="00E957C2"/>
    <w:rsid w:val="00EA55B3"/>
    <w:rsid w:val="00EB156C"/>
    <w:rsid w:val="00EC64EA"/>
    <w:rsid w:val="00ED26C4"/>
    <w:rsid w:val="00ED76D9"/>
    <w:rsid w:val="00EF7149"/>
    <w:rsid w:val="00F01171"/>
    <w:rsid w:val="00F111C1"/>
    <w:rsid w:val="00F1278E"/>
    <w:rsid w:val="00F21AC4"/>
    <w:rsid w:val="00F21C7C"/>
    <w:rsid w:val="00F32976"/>
    <w:rsid w:val="00F40B50"/>
    <w:rsid w:val="00F41EC0"/>
    <w:rsid w:val="00F56295"/>
    <w:rsid w:val="00F65E65"/>
    <w:rsid w:val="00F7344E"/>
    <w:rsid w:val="00F779D0"/>
    <w:rsid w:val="00F80049"/>
    <w:rsid w:val="00F87692"/>
    <w:rsid w:val="00F90742"/>
    <w:rsid w:val="00FA734A"/>
    <w:rsid w:val="00FB2798"/>
    <w:rsid w:val="00FB7F7B"/>
    <w:rsid w:val="00FE5D00"/>
    <w:rsid w:val="00FF4E5A"/>
    <w:rsid w:val="00FF53E2"/>
    <w:rsid w:val="01EBD7FB"/>
    <w:rsid w:val="05A3C3AA"/>
    <w:rsid w:val="05EEAEE6"/>
    <w:rsid w:val="09CE9AA5"/>
    <w:rsid w:val="0EB04689"/>
    <w:rsid w:val="1360BF78"/>
    <w:rsid w:val="1424F438"/>
    <w:rsid w:val="19B3B550"/>
    <w:rsid w:val="221D8849"/>
    <w:rsid w:val="2AB4FD7D"/>
    <w:rsid w:val="2F94307F"/>
    <w:rsid w:val="3334EB37"/>
    <w:rsid w:val="35EA49A6"/>
    <w:rsid w:val="38983A68"/>
    <w:rsid w:val="3CF66137"/>
    <w:rsid w:val="4784AA06"/>
    <w:rsid w:val="493FFBB8"/>
    <w:rsid w:val="4D4A8FA2"/>
    <w:rsid w:val="4F42B8E7"/>
    <w:rsid w:val="5F1D5398"/>
    <w:rsid w:val="5FC71DA5"/>
    <w:rsid w:val="6254F45A"/>
    <w:rsid w:val="62F34C4A"/>
    <w:rsid w:val="64C371CB"/>
    <w:rsid w:val="662DB409"/>
    <w:rsid w:val="670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F1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C6590F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E3DBD"/>
    <w:pPr>
      <w:keepNext/>
      <w:keepLines/>
      <w:spacing w:after="480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AE3DBD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AE3DB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  <w:rsid w:val="00C6590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6590F"/>
  </w:style>
  <w:style w:type="paragraph" w:styleId="Header">
    <w:name w:val="header"/>
    <w:basedOn w:val="Normal"/>
    <w:link w:val="HeaderChar"/>
    <w:uiPriority w:val="99"/>
    <w:unhideWhenUsed/>
    <w:rsid w:val="00AE3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DB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DB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D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E3DB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AE3DBD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AE3DBD"/>
    <w:rPr>
      <w:color w:val="0000FF"/>
      <w:u w:val="single"/>
    </w:rPr>
  </w:style>
  <w:style w:type="paragraph" w:customStyle="1" w:styleId="MediumGrid21">
    <w:name w:val="Medium Grid 21"/>
    <w:uiPriority w:val="1"/>
    <w:rsid w:val="00AE3DBD"/>
    <w:rPr>
      <w:sz w:val="22"/>
      <w:szCs w:val="22"/>
    </w:rPr>
  </w:style>
  <w:style w:type="paragraph" w:customStyle="1" w:styleId="Normal1">
    <w:name w:val="Normal1"/>
    <w:basedOn w:val="Normal"/>
    <w:rsid w:val="00AE3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AE3DBD"/>
  </w:style>
  <w:style w:type="paragraph" w:customStyle="1" w:styleId="bodycopy">
    <w:name w:val="bodycopy"/>
    <w:basedOn w:val="Normal"/>
    <w:rsid w:val="00AE3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AE3DBD"/>
  </w:style>
  <w:style w:type="table" w:styleId="TableGrid">
    <w:name w:val="Table Grid"/>
    <w:basedOn w:val="TableNormal"/>
    <w:uiPriority w:val="59"/>
    <w:rsid w:val="00AE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AE3DB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AE3D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E3DB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AE3DB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3DB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AE3DB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AE3DBD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99"/>
    <w:qFormat/>
    <w:rsid w:val="00D65B1E"/>
    <w:pPr>
      <w:ind w:left="720"/>
      <w:contextualSpacing/>
    </w:pPr>
    <w:rPr>
      <w:rFonts w:ascii="Times New Roman" w:hAnsi="Times New Roman"/>
      <w:sz w:val="24"/>
    </w:rPr>
  </w:style>
  <w:style w:type="paragraph" w:customStyle="1" w:styleId="Pa3">
    <w:name w:val="Pa3"/>
    <w:basedOn w:val="Normal"/>
    <w:next w:val="Normal"/>
    <w:uiPriority w:val="99"/>
    <w:rsid w:val="00D65B1E"/>
    <w:pPr>
      <w:autoSpaceDE w:val="0"/>
      <w:autoSpaceDN w:val="0"/>
      <w:adjustRightInd w:val="0"/>
      <w:spacing w:line="321" w:lineRule="atLeast"/>
    </w:pPr>
    <w:rPr>
      <w:rFonts w:ascii="Myriad Pro" w:hAnsi="Myriad Pr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6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6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DA0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DA0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3C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3CA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333CA"/>
    <w:rPr>
      <w:vertAlign w:val="superscript"/>
    </w:rPr>
  </w:style>
  <w:style w:type="paragraph" w:styleId="NoSpacing">
    <w:name w:val="No Spacing"/>
    <w:uiPriority w:val="1"/>
    <w:rsid w:val="006A26F0"/>
    <w:rPr>
      <w:rFonts w:ascii="Trebuchet MS" w:hAnsi="Trebuchet MS"/>
      <w:sz w:val="22"/>
      <w:szCs w:val="22"/>
    </w:rPr>
  </w:style>
  <w:style w:type="paragraph" w:styleId="Revision">
    <w:name w:val="Revision"/>
    <w:hidden/>
    <w:uiPriority w:val="99"/>
    <w:semiHidden/>
    <w:rsid w:val="00C4552F"/>
    <w:rPr>
      <w:rFonts w:ascii="Trebuchet MS" w:hAnsi="Trebuchet MS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E73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drunk-driv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htsa.gov/risky-driving/drunk-drivin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Container Laws Talking Points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Container Laws Talking Points</dc:title>
  <dc:subject/>
  <dc:creator/>
  <cp:keywords/>
  <cp:lastModifiedBy/>
  <cp:revision>1</cp:revision>
  <dcterms:created xsi:type="dcterms:W3CDTF">2023-12-27T21:10:00Z</dcterms:created>
  <dcterms:modified xsi:type="dcterms:W3CDTF">2023-12-27T21:44:00Z</dcterms:modified>
</cp:coreProperties>
</file>