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A969" w14:textId="7EFB6606" w:rsidR="000633F4" w:rsidRPr="0039360D" w:rsidRDefault="000633F4" w:rsidP="000633F4">
      <w:pPr>
        <w:pStyle w:val="Heading3"/>
        <w:jc w:val="center"/>
        <w:rPr>
          <w:rFonts w:ascii="Rockwell" w:hAnsi="Rockwell"/>
          <w:noProof/>
          <w:sz w:val="28"/>
        </w:rPr>
      </w:pPr>
      <w:r w:rsidRPr="0041446F">
        <w:rPr>
          <w:rFonts w:ascii="Rockwell" w:hAnsi="Rockwell"/>
          <w:i/>
          <w:noProof/>
          <w:sz w:val="28"/>
        </w:rPr>
        <w:t>Click It or Ticket</w:t>
      </w:r>
      <w:r>
        <w:rPr>
          <w:rFonts w:ascii="Rockwell" w:hAnsi="Rockwell"/>
          <w:i/>
          <w:noProof/>
          <w:sz w:val="28"/>
        </w:rPr>
        <w:t xml:space="preserve"> </w:t>
      </w:r>
    </w:p>
    <w:p w14:paraId="3541CC4E" w14:textId="31CAFCC7" w:rsidR="000633F4" w:rsidRDefault="00054F1A" w:rsidP="00C23E37">
      <w:pPr>
        <w:pStyle w:val="Heading2"/>
      </w:pPr>
      <w:r>
        <w:t>Talking Points</w:t>
      </w:r>
    </w:p>
    <w:p w14:paraId="1607A948" w14:textId="65D8D9FD" w:rsidR="00054F1A" w:rsidRDefault="00054F1A" w:rsidP="00054F1A">
      <w:pPr>
        <w:rPr>
          <w:b/>
        </w:rPr>
      </w:pPr>
      <w:r>
        <w:t>Join t</w:t>
      </w:r>
      <w:r w:rsidRPr="00D508E2">
        <w:t>he U.S. Department of Transportation’s National Highwa</w:t>
      </w:r>
      <w:r>
        <w:t>y Traffic Safety Administration and</w:t>
      </w:r>
      <w:r w:rsidRPr="00D508E2">
        <w:t xml:space="preserve"> law enforcement nationwide </w:t>
      </w:r>
      <w:r>
        <w:t>for</w:t>
      </w:r>
      <w:r w:rsidRPr="00D508E2">
        <w:t xml:space="preserve"> the </w:t>
      </w:r>
      <w:r>
        <w:rPr>
          <w:i/>
        </w:rPr>
        <w:t>Click It or Ticket</w:t>
      </w:r>
      <w:r w:rsidRPr="00D508E2">
        <w:t xml:space="preserve"> high-visibility </w:t>
      </w:r>
      <w:r w:rsidR="00C23E37">
        <w:t xml:space="preserve">seat belt </w:t>
      </w:r>
      <w:r w:rsidRPr="00D508E2">
        <w:t xml:space="preserve">enforcement </w:t>
      </w:r>
      <w:r w:rsidR="00553DE1" w:rsidRPr="00D508E2">
        <w:t>campaign and</w:t>
      </w:r>
      <w:r>
        <w:t xml:space="preserve"> help us urge everyone to buckle up when they’re in the car.</w:t>
      </w:r>
    </w:p>
    <w:p w14:paraId="45D0D8A3" w14:textId="1A5A51FA" w:rsidR="00AA71EF" w:rsidRPr="0039360D" w:rsidRDefault="00193AAA" w:rsidP="00193AAA">
      <w:pPr>
        <w:tabs>
          <w:tab w:val="left" w:pos="2340"/>
        </w:tabs>
        <w:rPr>
          <w:b/>
        </w:rPr>
      </w:pPr>
      <w:r>
        <w:rPr>
          <w:b/>
        </w:rPr>
        <w:t>Remind People to Buckle Up</w:t>
      </w:r>
      <w:r>
        <w:rPr>
          <w:b/>
        </w:rPr>
        <w:tab/>
      </w:r>
    </w:p>
    <w:p w14:paraId="19267455" w14:textId="288DD9A9" w:rsidR="002A072C" w:rsidRDefault="002A072C" w:rsidP="002A072C">
      <w:pPr>
        <w:numPr>
          <w:ilvl w:val="0"/>
          <w:numId w:val="2"/>
        </w:numPr>
        <w:spacing w:after="0"/>
      </w:pPr>
      <w:r w:rsidRPr="002A072C">
        <w:t>One of the safest choices drivers and passengers can make is to buckle up.</w:t>
      </w:r>
    </w:p>
    <w:p w14:paraId="64E3F9FD" w14:textId="665C17BE" w:rsidR="00471471" w:rsidRDefault="00471471" w:rsidP="002A072C">
      <w:pPr>
        <w:numPr>
          <w:ilvl w:val="0"/>
          <w:numId w:val="2"/>
        </w:numPr>
        <w:spacing w:after="0"/>
      </w:pPr>
      <w:r>
        <w:t xml:space="preserve">Buckle up all the time </w:t>
      </w:r>
      <w:r w:rsidRPr="00471471">
        <w:t xml:space="preserve">— </w:t>
      </w:r>
      <w:r>
        <w:t>for short trips and long trips.</w:t>
      </w:r>
    </w:p>
    <w:p w14:paraId="4DB91C93" w14:textId="53502B52" w:rsidR="009C4801" w:rsidRDefault="00715C2E" w:rsidP="009C4801">
      <w:pPr>
        <w:numPr>
          <w:ilvl w:val="0"/>
          <w:numId w:val="2"/>
        </w:numPr>
        <w:spacing w:after="0"/>
      </w:pPr>
      <w:r>
        <w:t>The right seat belt fit matters</w:t>
      </w:r>
      <w:r w:rsidR="009C4801">
        <w:t>:</w:t>
      </w:r>
    </w:p>
    <w:p w14:paraId="206F307C" w14:textId="459AB823" w:rsidR="00427E47" w:rsidRDefault="00427E47" w:rsidP="00427E47">
      <w:pPr>
        <w:numPr>
          <w:ilvl w:val="1"/>
          <w:numId w:val="2"/>
        </w:numPr>
        <w:spacing w:after="0"/>
      </w:pPr>
      <w:r>
        <w:t>T</w:t>
      </w:r>
      <w:r w:rsidRPr="00427E47">
        <w:t>he shoulder belt</w:t>
      </w:r>
      <w:r>
        <w:t xml:space="preserve"> should </w:t>
      </w:r>
      <w:r w:rsidR="00715C2E">
        <w:t>lay flat</w:t>
      </w:r>
      <w:r w:rsidRPr="00427E47">
        <w:t xml:space="preserve"> across the middle of your chest and away from your neck</w:t>
      </w:r>
      <w:r>
        <w:t>.</w:t>
      </w:r>
    </w:p>
    <w:p w14:paraId="59DC4603" w14:textId="17EAA2A2" w:rsidR="00427E47" w:rsidRDefault="00427E47" w:rsidP="00427E47">
      <w:pPr>
        <w:numPr>
          <w:ilvl w:val="1"/>
          <w:numId w:val="2"/>
        </w:numPr>
        <w:spacing w:after="0"/>
      </w:pPr>
      <w:r>
        <w:t>T</w:t>
      </w:r>
      <w:r w:rsidRPr="00427E47">
        <w:t>he lap belt</w:t>
      </w:r>
      <w:r>
        <w:t xml:space="preserve"> should fit</w:t>
      </w:r>
      <w:r w:rsidRPr="00427E47">
        <w:t xml:space="preserve"> across your hips, not your stomach. </w:t>
      </w:r>
    </w:p>
    <w:p w14:paraId="2EAB5900" w14:textId="77777777" w:rsidR="00427E47" w:rsidRDefault="00427E47" w:rsidP="00427E47">
      <w:pPr>
        <w:numPr>
          <w:ilvl w:val="1"/>
          <w:numId w:val="2"/>
        </w:numPr>
        <w:spacing w:after="0"/>
      </w:pPr>
      <w:r>
        <w:t>N</w:t>
      </w:r>
      <w:r w:rsidRPr="00427E47">
        <w:t>ever put the shoulder belt behind your back or under your arm.</w:t>
      </w:r>
    </w:p>
    <w:p w14:paraId="40955037" w14:textId="00EF1F42" w:rsidR="002A072C" w:rsidRDefault="00471471">
      <w:pPr>
        <w:pStyle w:val="ListParagraph"/>
        <w:numPr>
          <w:ilvl w:val="0"/>
          <w:numId w:val="2"/>
        </w:numPr>
        <w:spacing w:after="0"/>
      </w:pPr>
      <w:r w:rsidRPr="00471471">
        <w:t xml:space="preserve">Seat belts are the best defense against impaired, aggressive, and distracted drivers. Being buckled up during a crash helps keep you safe and secure inside your </w:t>
      </w:r>
      <w:r w:rsidR="00715C2E" w:rsidRPr="00471471">
        <w:t>vehicle;</w:t>
      </w:r>
      <w:r w:rsidR="00715C2E">
        <w:t xml:space="preserve"> the seat belt slows you down and spreads crash forces over the strongest parts of your body.</w:t>
      </w:r>
    </w:p>
    <w:p w14:paraId="1CBA4520" w14:textId="32637602" w:rsidR="006D7A25" w:rsidRDefault="006D7A25">
      <w:pPr>
        <w:pStyle w:val="ListParagraph"/>
        <w:numPr>
          <w:ilvl w:val="0"/>
          <w:numId w:val="2"/>
        </w:numPr>
        <w:spacing w:after="0"/>
      </w:pPr>
      <w:r w:rsidRPr="006D7A25">
        <w:t>We have come a long way with increasing seat belt use over the years, but we still have a problem to address considering that seat belt use varies by time of day, seating position, and region of the United States.</w:t>
      </w:r>
    </w:p>
    <w:p w14:paraId="2CB2F894" w14:textId="5A88B63D" w:rsidR="00715C2E" w:rsidRDefault="00715C2E" w:rsidP="00553DE1">
      <w:pPr>
        <w:pStyle w:val="ListParagraph"/>
        <w:numPr>
          <w:ilvl w:val="0"/>
          <w:numId w:val="2"/>
        </w:numPr>
        <w:spacing w:after="0"/>
      </w:pPr>
      <w:r>
        <w:t xml:space="preserve">Despite steady increases in observed seat belt use, approximately half of all passenger vehicle deaths are unrestrained. </w:t>
      </w:r>
    </w:p>
    <w:p w14:paraId="234D8200" w14:textId="77777777" w:rsidR="005B657D" w:rsidRDefault="005B657D" w:rsidP="005B657D">
      <w:pPr>
        <w:spacing w:after="0"/>
        <w:ind w:left="720"/>
      </w:pPr>
    </w:p>
    <w:p w14:paraId="0AF103A7" w14:textId="3E6312ED" w:rsidR="002A072C" w:rsidRDefault="002A072C" w:rsidP="00AA71EF">
      <w:pPr>
        <w:rPr>
          <w:b/>
        </w:rPr>
      </w:pPr>
      <w:r>
        <w:rPr>
          <w:b/>
        </w:rPr>
        <w:t>The Consequences</w:t>
      </w:r>
    </w:p>
    <w:p w14:paraId="39793E98" w14:textId="5C5B4781" w:rsidR="002A072C" w:rsidRPr="00553DE1" w:rsidRDefault="002A072C" w:rsidP="00553DE1">
      <w:pPr>
        <w:pStyle w:val="ListParagraph"/>
        <w:numPr>
          <w:ilvl w:val="0"/>
          <w:numId w:val="2"/>
        </w:numPr>
        <w:rPr>
          <w:bCs/>
        </w:rPr>
      </w:pPr>
      <w:r w:rsidRPr="00553DE1">
        <w:rPr>
          <w:bCs/>
        </w:rPr>
        <w:t xml:space="preserve">Buckling up helps keep you safe and secure inside your vehicle, whereas not buckling up can result in being totally ejected from the vehicle in a crash, which is almost always deadly. </w:t>
      </w:r>
    </w:p>
    <w:p w14:paraId="79D9D67A" w14:textId="316C38A5" w:rsidR="002A072C" w:rsidRDefault="002A072C" w:rsidP="002A072C">
      <w:pPr>
        <w:pStyle w:val="ListParagraph"/>
        <w:numPr>
          <w:ilvl w:val="0"/>
          <w:numId w:val="2"/>
        </w:numPr>
        <w:rPr>
          <w:bCs/>
        </w:rPr>
      </w:pPr>
      <w:r w:rsidRPr="00553DE1">
        <w:rPr>
          <w:bCs/>
        </w:rPr>
        <w:t>Improperly wearing a seat belt, such as putting the strap below your arm, puts you and your children at risk in a crash.</w:t>
      </w:r>
    </w:p>
    <w:p w14:paraId="1FC5EC75" w14:textId="0CB790E5" w:rsidR="00427E47" w:rsidRPr="00427E47" w:rsidRDefault="00427E47" w:rsidP="00427E47">
      <w:pPr>
        <w:pStyle w:val="ListParagraph"/>
        <w:numPr>
          <w:ilvl w:val="0"/>
          <w:numId w:val="2"/>
        </w:numPr>
        <w:rPr>
          <w:bCs/>
        </w:rPr>
      </w:pPr>
      <w:r w:rsidRPr="00427E47">
        <w:rPr>
          <w:bCs/>
        </w:rPr>
        <w:t>Air bags are not enough to protect you; in fact, the force of an air bag can seriously injure or even kill you if you’re not buckled up.</w:t>
      </w:r>
    </w:p>
    <w:p w14:paraId="61AEA45B" w14:textId="77777777" w:rsidR="00553DE1" w:rsidRDefault="00553DE1" w:rsidP="007D163E">
      <w:pPr>
        <w:spacing w:after="0"/>
        <w:rPr>
          <w:b/>
          <w:bCs/>
        </w:rPr>
      </w:pPr>
    </w:p>
    <w:p w14:paraId="617FC12C" w14:textId="77777777" w:rsidR="00553DE1" w:rsidRDefault="00553DE1" w:rsidP="007D163E">
      <w:pPr>
        <w:spacing w:after="0"/>
        <w:rPr>
          <w:b/>
          <w:bCs/>
        </w:rPr>
      </w:pPr>
    </w:p>
    <w:p w14:paraId="31D985CF" w14:textId="77777777" w:rsidR="00553DE1" w:rsidRDefault="00553DE1" w:rsidP="007D163E">
      <w:pPr>
        <w:spacing w:after="0"/>
        <w:rPr>
          <w:b/>
          <w:bCs/>
        </w:rPr>
      </w:pPr>
    </w:p>
    <w:p w14:paraId="2BD92D7A" w14:textId="7D228F1F" w:rsidR="007D163E" w:rsidRPr="001A29FC" w:rsidRDefault="007D163E" w:rsidP="007D163E">
      <w:pPr>
        <w:spacing w:after="0"/>
        <w:rPr>
          <w:b/>
          <w:bCs/>
        </w:rPr>
      </w:pPr>
      <w:r w:rsidRPr="001A29FC">
        <w:rPr>
          <w:b/>
          <w:bCs/>
        </w:rPr>
        <w:lastRenderedPageBreak/>
        <w:t>Enforcement</w:t>
      </w:r>
    </w:p>
    <w:p w14:paraId="77E468EB" w14:textId="77777777" w:rsidR="00553DE1" w:rsidRPr="00553DE1" w:rsidRDefault="00553DE1" w:rsidP="00553DE1">
      <w:pPr>
        <w:pStyle w:val="pf0"/>
        <w:numPr>
          <w:ilvl w:val="0"/>
          <w:numId w:val="7"/>
        </w:numPr>
        <w:rPr>
          <w:rFonts w:ascii="Trebuchet MS" w:hAnsi="Trebuchet MS" w:cs="Arial"/>
          <w:sz w:val="22"/>
          <w:szCs w:val="22"/>
        </w:rPr>
      </w:pPr>
      <w:r w:rsidRPr="00553DE1">
        <w:rPr>
          <w:rStyle w:val="cf01"/>
          <w:rFonts w:ascii="Trebuchet MS" w:hAnsi="Trebuchet MS"/>
          <w:sz w:val="22"/>
          <w:szCs w:val="22"/>
        </w:rPr>
        <w:t xml:space="preserve">Enforcement efforts help keep community members safe and remind drivers of the importance of buckling up. </w:t>
      </w:r>
    </w:p>
    <w:p w14:paraId="1099FF80" w14:textId="77777777" w:rsidR="00553DE1" w:rsidRPr="00553DE1" w:rsidRDefault="00553DE1" w:rsidP="00553DE1">
      <w:pPr>
        <w:pStyle w:val="pf0"/>
        <w:numPr>
          <w:ilvl w:val="0"/>
          <w:numId w:val="7"/>
        </w:numPr>
        <w:rPr>
          <w:rFonts w:ascii="Trebuchet MS" w:hAnsi="Trebuchet MS" w:cs="Arial"/>
          <w:sz w:val="22"/>
          <w:szCs w:val="22"/>
        </w:rPr>
      </w:pPr>
      <w:r w:rsidRPr="00553DE1">
        <w:rPr>
          <w:rStyle w:val="cf01"/>
          <w:rFonts w:ascii="Trebuchet MS" w:hAnsi="Trebuchet MS"/>
          <w:sz w:val="22"/>
          <w:szCs w:val="22"/>
        </w:rPr>
        <w:t xml:space="preserve">High visibility enforcement is a proven method for getting people to buckle up. </w:t>
      </w:r>
    </w:p>
    <w:p w14:paraId="7EEB9C5A" w14:textId="77777777" w:rsidR="00553DE1" w:rsidRPr="00553DE1" w:rsidRDefault="00553DE1" w:rsidP="00553DE1">
      <w:pPr>
        <w:pStyle w:val="pf0"/>
        <w:numPr>
          <w:ilvl w:val="0"/>
          <w:numId w:val="7"/>
        </w:numPr>
        <w:rPr>
          <w:rFonts w:ascii="Trebuchet MS" w:hAnsi="Trebuchet MS" w:cs="Arial"/>
          <w:sz w:val="22"/>
          <w:szCs w:val="22"/>
        </w:rPr>
      </w:pPr>
      <w:r w:rsidRPr="00553DE1">
        <w:rPr>
          <w:rStyle w:val="cf01"/>
          <w:rFonts w:ascii="Trebuchet MS" w:hAnsi="Trebuchet MS"/>
          <w:sz w:val="22"/>
          <w:szCs w:val="22"/>
        </w:rPr>
        <w:t>When drivers and passengers see police enforcing traffic laws, they are more likely to comply.</w:t>
      </w:r>
    </w:p>
    <w:p w14:paraId="2FDA1425" w14:textId="77777777" w:rsidR="00553DE1" w:rsidRPr="00553DE1" w:rsidRDefault="00553DE1" w:rsidP="00553DE1">
      <w:pPr>
        <w:pStyle w:val="pf0"/>
        <w:numPr>
          <w:ilvl w:val="0"/>
          <w:numId w:val="7"/>
        </w:numPr>
        <w:rPr>
          <w:rFonts w:ascii="Trebuchet MS" w:hAnsi="Trebuchet MS" w:cs="Arial"/>
          <w:sz w:val="22"/>
          <w:szCs w:val="22"/>
        </w:rPr>
      </w:pPr>
      <w:r w:rsidRPr="00553DE1">
        <w:rPr>
          <w:rStyle w:val="cf11"/>
          <w:rFonts w:ascii="Trebuchet MS" w:hAnsi="Trebuchet MS"/>
          <w:sz w:val="22"/>
          <w:szCs w:val="22"/>
        </w:rPr>
        <w:t>Click It or Ticket</w:t>
      </w:r>
      <w:r w:rsidRPr="00553DE1">
        <w:rPr>
          <w:rStyle w:val="cf01"/>
          <w:rFonts w:ascii="Trebuchet MS" w:hAnsi="Trebuchet MS"/>
          <w:sz w:val="22"/>
          <w:szCs w:val="22"/>
        </w:rPr>
        <w:t xml:space="preserve"> isn't about citations </w:t>
      </w:r>
      <w:r w:rsidRPr="00553DE1">
        <w:rPr>
          <w:rStyle w:val="cf21"/>
          <w:rFonts w:ascii="Trebuchet MS" w:hAnsi="Trebuchet MS"/>
          <w:sz w:val="22"/>
          <w:szCs w:val="22"/>
        </w:rPr>
        <w:t>—</w:t>
      </w:r>
      <w:r w:rsidRPr="00553DE1">
        <w:rPr>
          <w:rStyle w:val="cf01"/>
          <w:rFonts w:ascii="Trebuchet MS" w:hAnsi="Trebuchet MS"/>
          <w:sz w:val="22"/>
          <w:szCs w:val="22"/>
        </w:rPr>
        <w:t xml:space="preserve"> law enforcement issue tickets to save lives and prevent serious injuries.</w:t>
      </w:r>
    </w:p>
    <w:p w14:paraId="5C439533" w14:textId="1CEFEF19" w:rsidR="00553DE1" w:rsidRPr="00553DE1" w:rsidRDefault="00553DE1" w:rsidP="00553DE1">
      <w:pPr>
        <w:pStyle w:val="pf0"/>
        <w:numPr>
          <w:ilvl w:val="0"/>
          <w:numId w:val="7"/>
        </w:numPr>
        <w:rPr>
          <w:rStyle w:val="cf01"/>
          <w:rFonts w:ascii="Trebuchet MS" w:hAnsi="Trebuchet MS" w:cs="Arial"/>
          <w:sz w:val="22"/>
          <w:szCs w:val="22"/>
        </w:rPr>
      </w:pPr>
      <w:r w:rsidRPr="00553DE1">
        <w:rPr>
          <w:rStyle w:val="cf01"/>
          <w:rFonts w:ascii="Trebuchet MS" w:hAnsi="Trebuchet MS"/>
          <w:sz w:val="22"/>
          <w:szCs w:val="22"/>
        </w:rPr>
        <w:t xml:space="preserve">A citation is an effective way to remind people of the importance of a simple and life-saving measure </w:t>
      </w:r>
      <w:r w:rsidRPr="00553DE1">
        <w:rPr>
          <w:rStyle w:val="cf21"/>
          <w:rFonts w:ascii="Trebuchet MS" w:hAnsi="Trebuchet MS"/>
          <w:sz w:val="22"/>
          <w:szCs w:val="22"/>
        </w:rPr>
        <w:t>—</w:t>
      </w:r>
      <w:r w:rsidRPr="00553DE1">
        <w:rPr>
          <w:rStyle w:val="cf01"/>
          <w:rFonts w:ascii="Trebuchet MS" w:hAnsi="Trebuchet MS"/>
          <w:sz w:val="22"/>
          <w:szCs w:val="22"/>
        </w:rPr>
        <w:t xml:space="preserve"> buckling up.</w:t>
      </w:r>
    </w:p>
    <w:p w14:paraId="6FBB06EA" w14:textId="77EA1F12" w:rsidR="007D163E" w:rsidRPr="00537520" w:rsidRDefault="00553DE1" w:rsidP="00AA71EF">
      <w:pPr>
        <w:pStyle w:val="pf0"/>
        <w:numPr>
          <w:ilvl w:val="0"/>
          <w:numId w:val="7"/>
        </w:numPr>
        <w:rPr>
          <w:rFonts w:ascii="Trebuchet MS" w:hAnsi="Trebuchet MS" w:cs="Arial"/>
          <w:sz w:val="22"/>
          <w:szCs w:val="22"/>
        </w:rPr>
      </w:pPr>
      <w:r w:rsidRPr="00553DE1">
        <w:rPr>
          <w:rStyle w:val="cf01"/>
          <w:rFonts w:ascii="Trebuchet MS" w:hAnsi="Trebuchet MS"/>
          <w:sz w:val="22"/>
          <w:szCs w:val="22"/>
        </w:rPr>
        <w:t xml:space="preserve">For the latest enforcement dates, visit: </w:t>
      </w:r>
      <w:hyperlink r:id="rId7" w:history="1">
        <w:r w:rsidR="00A23C54">
          <w:rPr>
            <w:rStyle w:val="cf01"/>
            <w:rFonts w:ascii="Trebuchet MS" w:hAnsi="Trebuchet MS"/>
            <w:color w:val="0000FF"/>
            <w:sz w:val="22"/>
            <w:szCs w:val="22"/>
            <w:u w:val="single"/>
          </w:rPr>
          <w:t>www.trafficsafetymarketing.gov/safety-topics/seat-belt-safety/click-it-or-ticket</w:t>
        </w:r>
      </w:hyperlink>
    </w:p>
    <w:p w14:paraId="388C47B1" w14:textId="56B4C373" w:rsidR="00AA71EF" w:rsidRPr="0039360D" w:rsidRDefault="00FC7488" w:rsidP="00AA71EF">
      <w:pPr>
        <w:rPr>
          <w:b/>
        </w:rPr>
      </w:pPr>
      <w:commentRangeStart w:id="0"/>
      <w:r>
        <w:rPr>
          <w:b/>
        </w:rPr>
        <w:t>Stats</w:t>
      </w:r>
      <w:commentRangeEnd w:id="0"/>
      <w:r w:rsidR="00537520">
        <w:rPr>
          <w:rStyle w:val="CommentReference"/>
        </w:rPr>
        <w:commentReference w:id="0"/>
      </w:r>
    </w:p>
    <w:p w14:paraId="01293EF8" w14:textId="32153550" w:rsidR="00AA71EF" w:rsidRPr="00901CE9" w:rsidRDefault="00AA71EF" w:rsidP="00AA71EF">
      <w:r>
        <w:t xml:space="preserve">Learn more about the </w:t>
      </w:r>
      <w:r w:rsidRPr="0041446F">
        <w:rPr>
          <w:i/>
        </w:rPr>
        <w:t>Click It or Ticket</w:t>
      </w:r>
      <w:r>
        <w:t xml:space="preserve"> </w:t>
      </w:r>
      <w:r w:rsidR="00435DB1">
        <w:t xml:space="preserve">seat belt enforcement </w:t>
      </w:r>
      <w:r>
        <w:t xml:space="preserve">mobilization at </w:t>
      </w:r>
      <w:hyperlink r:id="rId12" w:history="1">
        <w:r w:rsidR="00427E47" w:rsidRPr="00427E47">
          <w:rPr>
            <w:rStyle w:val="Hyperlink"/>
          </w:rPr>
          <w:t>www.nhtsa.gov/ClickIt</w:t>
        </w:r>
      </w:hyperlink>
      <w:r>
        <w:t>.</w:t>
      </w:r>
    </w:p>
    <w:p w14:paraId="2661514A" w14:textId="77777777" w:rsidR="004944B0" w:rsidRPr="00901CE9" w:rsidRDefault="004944B0" w:rsidP="004944B0"/>
    <w:sectPr w:rsidR="004944B0" w:rsidRPr="00901CE9" w:rsidSect="00B60C26">
      <w:headerReference w:type="default" r:id="rId13"/>
      <w:footerReference w:type="default" r:id="rId14"/>
      <w:pgSz w:w="12240" w:h="15840"/>
      <w:pgMar w:top="2790" w:right="1440" w:bottom="16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3-06T10:01:00Z" w:initials="A">
    <w:p w14:paraId="0D2000C9" w14:textId="77777777" w:rsidR="00537520" w:rsidRDefault="00537520">
      <w:pPr>
        <w:pStyle w:val="CommentText"/>
      </w:pPr>
      <w:r>
        <w:rPr>
          <w:rStyle w:val="CommentReference"/>
        </w:rPr>
        <w:annotationRef/>
      </w:r>
      <w:r>
        <w:t xml:space="preserve">Localize: We encourage you to insert your local/state statistics related to this topic. </w:t>
      </w:r>
      <w:r>
        <w:br/>
        <w:t>For national statistics, visit:</w:t>
      </w:r>
    </w:p>
    <w:p w14:paraId="13BCF0E7" w14:textId="77777777" w:rsidR="00537520" w:rsidRDefault="00537520" w:rsidP="00603E2E">
      <w:pPr>
        <w:pStyle w:val="CommentText"/>
      </w:pPr>
      <w:hyperlink r:id="rId1" w:history="1">
        <w:r w:rsidRPr="00603E2E">
          <w:rPr>
            <w:rStyle w:val="Hyperlink"/>
          </w:rPr>
          <w:t>https://www.trafficsafetymarketing.gov/safety-topics/seat-belt-safety/click-it-or-ticket#4371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BCF0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2BD96" w16cex:dateUtc="2024-03-06T15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BCF0E7" w16cid:durableId="2992BD9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43B69" w14:textId="77777777" w:rsidR="005B355B" w:rsidRDefault="005B355B" w:rsidP="00901CE9">
      <w:pPr>
        <w:spacing w:after="0" w:line="240" w:lineRule="auto"/>
      </w:pPr>
      <w:r>
        <w:separator/>
      </w:r>
    </w:p>
  </w:endnote>
  <w:endnote w:type="continuationSeparator" w:id="0">
    <w:p w14:paraId="64525804" w14:textId="77777777" w:rsidR="005B355B" w:rsidRDefault="005B355B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75A1" w14:textId="06414EB7" w:rsidR="00901CE9" w:rsidRPr="00901CE9" w:rsidRDefault="004B0CEB" w:rsidP="00E124AD">
    <w:pPr>
      <w:pStyle w:val="5ControlCode"/>
      <w:spacing w:after="0"/>
    </w:pPr>
    <w:r>
      <w:t>1</w:t>
    </w:r>
    <w:r w:rsidR="00054F1A">
      <w:t>6121</w:t>
    </w:r>
    <w:r w:rsidR="008A1F78">
      <w:t>b</w:t>
    </w:r>
    <w:r w:rsidR="00E124AD">
      <w:t>-</w:t>
    </w:r>
    <w:r w:rsidR="00537520">
      <w:t>030624</w:t>
    </w:r>
    <w:r w:rsidR="00022654">
      <w:t>-v</w:t>
    </w:r>
    <w:r w:rsidR="00537520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F444" w14:textId="77777777" w:rsidR="005B355B" w:rsidRDefault="005B355B" w:rsidP="00901CE9">
      <w:pPr>
        <w:spacing w:after="0" w:line="240" w:lineRule="auto"/>
      </w:pPr>
      <w:r>
        <w:separator/>
      </w:r>
    </w:p>
  </w:footnote>
  <w:footnote w:type="continuationSeparator" w:id="0">
    <w:p w14:paraId="6298EFC4" w14:textId="77777777" w:rsidR="005B355B" w:rsidRDefault="005B355B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3AA1" w14:textId="77777777" w:rsidR="00C52F03" w:rsidRDefault="0091298A" w:rsidP="000B62F6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  <w:r>
      <w:rPr>
        <w:b/>
        <w:noProof/>
        <w:position w:val="6"/>
        <w:sz w:val="36"/>
        <w:szCs w:val="36"/>
      </w:rPr>
      <w:drawing>
        <wp:inline distT="0" distB="0" distL="0" distR="0" wp14:anchorId="6D36BB91" wp14:editId="67C6A109">
          <wp:extent cx="1069340" cy="1069340"/>
          <wp:effectExtent l="0" t="0" r="0" b="0"/>
          <wp:docPr id="8" name="Picture 8" descr="Click It or Ticket It Day &amp; Night Logo" title="Click It or Ticket It Day &amp; Nigh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OT-DayNight-HorizLock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40" cy="106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66ABA"/>
    <w:multiLevelType w:val="hybridMultilevel"/>
    <w:tmpl w:val="4B64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82498"/>
    <w:multiLevelType w:val="hybridMultilevel"/>
    <w:tmpl w:val="3EB8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50CE"/>
    <w:multiLevelType w:val="hybridMultilevel"/>
    <w:tmpl w:val="64C6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1278D"/>
    <w:multiLevelType w:val="multilevel"/>
    <w:tmpl w:val="0B4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710EAD"/>
    <w:multiLevelType w:val="hybridMultilevel"/>
    <w:tmpl w:val="FF669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3966"/>
    <w:multiLevelType w:val="hybridMultilevel"/>
    <w:tmpl w:val="7748857E"/>
    <w:lvl w:ilvl="0" w:tplc="B8E82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09681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B7E73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A1A59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4949A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61AF7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47C5E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5A87A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C4E5F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89433799">
    <w:abstractNumId w:val="0"/>
  </w:num>
  <w:num w:numId="2" w16cid:durableId="69888458">
    <w:abstractNumId w:val="5"/>
  </w:num>
  <w:num w:numId="3" w16cid:durableId="856040920">
    <w:abstractNumId w:val="1"/>
  </w:num>
  <w:num w:numId="4" w16cid:durableId="1003823432">
    <w:abstractNumId w:val="3"/>
  </w:num>
  <w:num w:numId="5" w16cid:durableId="2096584884">
    <w:abstractNumId w:val="2"/>
  </w:num>
  <w:num w:numId="6" w16cid:durableId="1713338798">
    <w:abstractNumId w:val="6"/>
  </w:num>
  <w:num w:numId="7" w16cid:durableId="185468274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CE9"/>
    <w:rsid w:val="00000E21"/>
    <w:rsid w:val="00022654"/>
    <w:rsid w:val="00051FD6"/>
    <w:rsid w:val="00054F1A"/>
    <w:rsid w:val="000633F4"/>
    <w:rsid w:val="000663F2"/>
    <w:rsid w:val="00066D86"/>
    <w:rsid w:val="00083AD1"/>
    <w:rsid w:val="000B3C91"/>
    <w:rsid w:val="000B62F6"/>
    <w:rsid w:val="000B7510"/>
    <w:rsid w:val="000D1FA1"/>
    <w:rsid w:val="001320DA"/>
    <w:rsid w:val="00152032"/>
    <w:rsid w:val="00152CF6"/>
    <w:rsid w:val="00152F54"/>
    <w:rsid w:val="001579AF"/>
    <w:rsid w:val="00161F42"/>
    <w:rsid w:val="0018427F"/>
    <w:rsid w:val="00193AAA"/>
    <w:rsid w:val="001E692F"/>
    <w:rsid w:val="001E7C0E"/>
    <w:rsid w:val="00205F4F"/>
    <w:rsid w:val="0021528E"/>
    <w:rsid w:val="00295062"/>
    <w:rsid w:val="002A072C"/>
    <w:rsid w:val="002A6AAF"/>
    <w:rsid w:val="002B4917"/>
    <w:rsid w:val="002B4B16"/>
    <w:rsid w:val="002B66C6"/>
    <w:rsid w:val="002C5FF8"/>
    <w:rsid w:val="002D5E12"/>
    <w:rsid w:val="002E18D6"/>
    <w:rsid w:val="002F70BD"/>
    <w:rsid w:val="003215B6"/>
    <w:rsid w:val="00343E03"/>
    <w:rsid w:val="00352A56"/>
    <w:rsid w:val="003D2D80"/>
    <w:rsid w:val="003E414D"/>
    <w:rsid w:val="00427E47"/>
    <w:rsid w:val="00435DB1"/>
    <w:rsid w:val="00443D02"/>
    <w:rsid w:val="0044490E"/>
    <w:rsid w:val="00451F6F"/>
    <w:rsid w:val="00471471"/>
    <w:rsid w:val="004944B0"/>
    <w:rsid w:val="00494E1D"/>
    <w:rsid w:val="004B0CEB"/>
    <w:rsid w:val="004C1AD6"/>
    <w:rsid w:val="004D21EE"/>
    <w:rsid w:val="004D77A2"/>
    <w:rsid w:val="004F3144"/>
    <w:rsid w:val="004F7615"/>
    <w:rsid w:val="00512BFB"/>
    <w:rsid w:val="00515528"/>
    <w:rsid w:val="00515B2E"/>
    <w:rsid w:val="00526B8D"/>
    <w:rsid w:val="00537520"/>
    <w:rsid w:val="005430D9"/>
    <w:rsid w:val="00550936"/>
    <w:rsid w:val="00550EC6"/>
    <w:rsid w:val="00553DE1"/>
    <w:rsid w:val="00565486"/>
    <w:rsid w:val="005A171E"/>
    <w:rsid w:val="005B355B"/>
    <w:rsid w:val="005B657D"/>
    <w:rsid w:val="005B6A9A"/>
    <w:rsid w:val="005C1981"/>
    <w:rsid w:val="005E42DD"/>
    <w:rsid w:val="005F5B56"/>
    <w:rsid w:val="00603243"/>
    <w:rsid w:val="00604280"/>
    <w:rsid w:val="00625A39"/>
    <w:rsid w:val="00636AEB"/>
    <w:rsid w:val="00653144"/>
    <w:rsid w:val="00657B69"/>
    <w:rsid w:val="0067003C"/>
    <w:rsid w:val="00672251"/>
    <w:rsid w:val="00673C85"/>
    <w:rsid w:val="00695B97"/>
    <w:rsid w:val="00697610"/>
    <w:rsid w:val="006B062D"/>
    <w:rsid w:val="006D2045"/>
    <w:rsid w:val="006D7A25"/>
    <w:rsid w:val="006F41DD"/>
    <w:rsid w:val="0070026E"/>
    <w:rsid w:val="00715C2E"/>
    <w:rsid w:val="007255C9"/>
    <w:rsid w:val="00732D3D"/>
    <w:rsid w:val="00751320"/>
    <w:rsid w:val="0077096D"/>
    <w:rsid w:val="007A5EF1"/>
    <w:rsid w:val="007C2723"/>
    <w:rsid w:val="007D163E"/>
    <w:rsid w:val="007D5238"/>
    <w:rsid w:val="007E4622"/>
    <w:rsid w:val="007F0F99"/>
    <w:rsid w:val="00824066"/>
    <w:rsid w:val="00845280"/>
    <w:rsid w:val="008459C9"/>
    <w:rsid w:val="0089384D"/>
    <w:rsid w:val="00896640"/>
    <w:rsid w:val="008A1F78"/>
    <w:rsid w:val="008A78B7"/>
    <w:rsid w:val="008B6819"/>
    <w:rsid w:val="008B6C4C"/>
    <w:rsid w:val="008C149B"/>
    <w:rsid w:val="008D7FD8"/>
    <w:rsid w:val="00901CE9"/>
    <w:rsid w:val="00905462"/>
    <w:rsid w:val="00910BEA"/>
    <w:rsid w:val="0091298A"/>
    <w:rsid w:val="009466BB"/>
    <w:rsid w:val="009511CA"/>
    <w:rsid w:val="00963E02"/>
    <w:rsid w:val="009A0669"/>
    <w:rsid w:val="009A5F02"/>
    <w:rsid w:val="009B2CD9"/>
    <w:rsid w:val="009C0118"/>
    <w:rsid w:val="009C338A"/>
    <w:rsid w:val="009C4801"/>
    <w:rsid w:val="009E3F3A"/>
    <w:rsid w:val="009F2C64"/>
    <w:rsid w:val="009F3460"/>
    <w:rsid w:val="00A209DF"/>
    <w:rsid w:val="00A23C54"/>
    <w:rsid w:val="00A345FE"/>
    <w:rsid w:val="00A519A9"/>
    <w:rsid w:val="00A71AF1"/>
    <w:rsid w:val="00A77193"/>
    <w:rsid w:val="00A77ABE"/>
    <w:rsid w:val="00A80AFB"/>
    <w:rsid w:val="00A90A9E"/>
    <w:rsid w:val="00AA106A"/>
    <w:rsid w:val="00AA18CB"/>
    <w:rsid w:val="00AA71EF"/>
    <w:rsid w:val="00AC71CD"/>
    <w:rsid w:val="00AD3AFD"/>
    <w:rsid w:val="00B139B1"/>
    <w:rsid w:val="00B25006"/>
    <w:rsid w:val="00B331E3"/>
    <w:rsid w:val="00B53737"/>
    <w:rsid w:val="00B60C26"/>
    <w:rsid w:val="00B63986"/>
    <w:rsid w:val="00B87D57"/>
    <w:rsid w:val="00B9273B"/>
    <w:rsid w:val="00BB1112"/>
    <w:rsid w:val="00BC3C19"/>
    <w:rsid w:val="00BF0673"/>
    <w:rsid w:val="00C17863"/>
    <w:rsid w:val="00C23E37"/>
    <w:rsid w:val="00C52F03"/>
    <w:rsid w:val="00C55758"/>
    <w:rsid w:val="00C64E8A"/>
    <w:rsid w:val="00C769F3"/>
    <w:rsid w:val="00C83758"/>
    <w:rsid w:val="00CA1A42"/>
    <w:rsid w:val="00CB40B7"/>
    <w:rsid w:val="00CC5909"/>
    <w:rsid w:val="00CD0803"/>
    <w:rsid w:val="00CE7F96"/>
    <w:rsid w:val="00D11077"/>
    <w:rsid w:val="00D3792F"/>
    <w:rsid w:val="00D55119"/>
    <w:rsid w:val="00D9130E"/>
    <w:rsid w:val="00D92FE1"/>
    <w:rsid w:val="00DD4A9B"/>
    <w:rsid w:val="00DE2078"/>
    <w:rsid w:val="00DE4EF2"/>
    <w:rsid w:val="00E124AD"/>
    <w:rsid w:val="00E14CE6"/>
    <w:rsid w:val="00E31AC0"/>
    <w:rsid w:val="00E42491"/>
    <w:rsid w:val="00E51025"/>
    <w:rsid w:val="00E53207"/>
    <w:rsid w:val="00E53BEF"/>
    <w:rsid w:val="00E61E96"/>
    <w:rsid w:val="00EB03AB"/>
    <w:rsid w:val="00EB0FDC"/>
    <w:rsid w:val="00EC351D"/>
    <w:rsid w:val="00F01171"/>
    <w:rsid w:val="00F21C7C"/>
    <w:rsid w:val="00F41EC0"/>
    <w:rsid w:val="00FA1E5B"/>
    <w:rsid w:val="00FA7C6B"/>
    <w:rsid w:val="00FB2798"/>
    <w:rsid w:val="00FC7488"/>
    <w:rsid w:val="00FD65A7"/>
    <w:rsid w:val="00FE326C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3A299"/>
  <w15:docId w15:val="{AEBCCDE9-8302-4D82-9EA6-02538C33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6F41DD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6F41DD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C23E37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6F41D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D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D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1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6F41D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C23E37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6F41DD"/>
    <w:rPr>
      <w:color w:val="0000FF"/>
      <w:u w:val="single"/>
    </w:rPr>
  </w:style>
  <w:style w:type="paragraph" w:customStyle="1" w:styleId="MediumGrid21">
    <w:name w:val="Medium Grid 21"/>
    <w:uiPriority w:val="1"/>
    <w:rsid w:val="006F41DD"/>
    <w:rPr>
      <w:sz w:val="22"/>
      <w:szCs w:val="22"/>
    </w:rPr>
  </w:style>
  <w:style w:type="paragraph" w:customStyle="1" w:styleId="Normal1">
    <w:name w:val="Normal1"/>
    <w:basedOn w:val="Normal"/>
    <w:rsid w:val="006F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F41DD"/>
  </w:style>
  <w:style w:type="paragraph" w:customStyle="1" w:styleId="bodycopy">
    <w:name w:val="bodycopy"/>
    <w:basedOn w:val="Normal"/>
    <w:rsid w:val="006F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6F41DD"/>
  </w:style>
  <w:style w:type="table" w:styleId="TableGrid">
    <w:name w:val="Table Grid"/>
    <w:basedOn w:val="TableNormal"/>
    <w:uiPriority w:val="59"/>
    <w:rsid w:val="006F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6F41D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6F4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F41D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6F41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F41D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6F41D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6F41DD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rsid w:val="00AA71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3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C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C9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C91"/>
    <w:rPr>
      <w:rFonts w:ascii="Trebuchet MS" w:hAnsi="Trebuchet MS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78B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C74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E326C"/>
    <w:rPr>
      <w:rFonts w:ascii="Trebuchet MS" w:hAnsi="Trebuchet MS"/>
      <w:sz w:val="22"/>
      <w:szCs w:val="22"/>
    </w:rPr>
  </w:style>
  <w:style w:type="paragraph" w:customStyle="1" w:styleId="pf0">
    <w:name w:val="pf0"/>
    <w:basedOn w:val="Normal"/>
    <w:rsid w:val="00553D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f01">
    <w:name w:val="cf01"/>
    <w:basedOn w:val="DefaultParagraphFont"/>
    <w:rsid w:val="00553DE1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553DE1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efaultParagraphFont"/>
    <w:rsid w:val="00553DE1"/>
    <w:rPr>
      <w:rFonts w:ascii="Segoe UI" w:hAnsi="Segoe UI" w:cs="Segoe UI" w:hint="default"/>
      <w:color w:val="4D5156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eat-belt-safety/click-it-or-ticket#4371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rafficsafetymarketing.gov/safety-topics/seat-belt-safety/click-it-or-ticket" TargetMode="External"/><Relationship Id="rId12" Type="http://schemas.openxmlformats.org/officeDocument/2006/relationships/hyperlink" Target="http://www.nhtsa.gov/Click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CIOT Talking Ponts</vt:lpstr>
    </vt:vector>
  </TitlesOfParts>
  <Company>DOT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CIOT Talking Ponts</dc:title>
  <dc:creator/>
  <cp:keywords/>
  <cp:lastModifiedBy>Author</cp:lastModifiedBy>
  <cp:revision>4</cp:revision>
  <dcterms:created xsi:type="dcterms:W3CDTF">2024-02-20T13:03:00Z</dcterms:created>
  <dcterms:modified xsi:type="dcterms:W3CDTF">2024-03-06T15:04:00Z</dcterms:modified>
</cp:coreProperties>
</file>